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768" w:type="dxa"/>
        <w:tblLook w:val="04A0" w:firstRow="1" w:lastRow="0" w:firstColumn="1" w:lastColumn="0" w:noHBand="0" w:noVBand="1"/>
      </w:tblPr>
      <w:tblGrid>
        <w:gridCol w:w="4037"/>
        <w:gridCol w:w="6731"/>
      </w:tblGrid>
      <w:tr w:rsidR="00557DA7" w:rsidRPr="00557DA7" w14:paraId="48B482B7" w14:textId="3B586C2E" w:rsidTr="007E13A4">
        <w:trPr>
          <w:trHeight w:val="188"/>
        </w:trPr>
        <w:tc>
          <w:tcPr>
            <w:tcW w:w="4037" w:type="dxa"/>
            <w:shd w:val="clear" w:color="auto" w:fill="00B050"/>
            <w:noWrap/>
            <w:hideMark/>
          </w:tcPr>
          <w:p w14:paraId="566A57BB" w14:textId="77777777" w:rsidR="00557DA7" w:rsidRPr="00557DA7" w:rsidRDefault="00557DA7">
            <w:pPr>
              <w:rPr>
                <w:b/>
                <w:bCs/>
                <w:sz w:val="20"/>
                <w:szCs w:val="20"/>
              </w:rPr>
            </w:pPr>
            <w:r w:rsidRPr="00557DA7">
              <w:rPr>
                <w:b/>
                <w:bCs/>
                <w:sz w:val="20"/>
                <w:szCs w:val="20"/>
              </w:rPr>
              <w:t>Impostos Municipais</w:t>
            </w:r>
          </w:p>
        </w:tc>
        <w:tc>
          <w:tcPr>
            <w:tcW w:w="6731" w:type="dxa"/>
          </w:tcPr>
          <w:p w14:paraId="3944972E" w14:textId="14243AC0" w:rsidR="00557DA7" w:rsidRPr="00557DA7" w:rsidRDefault="00557DA7" w:rsidP="00557DA7">
            <w:pPr>
              <w:spacing w:after="0" w:line="240" w:lineRule="auto"/>
              <w:rPr>
                <w:sz w:val="20"/>
                <w:szCs w:val="20"/>
              </w:rPr>
            </w:pPr>
            <w:r w:rsidRPr="00557DA7">
              <w:rPr>
                <w:sz w:val="20"/>
                <w:szCs w:val="20"/>
              </w:rPr>
              <w:t>RECEITAS PRÓPRIAS</w:t>
            </w:r>
            <w:r>
              <w:rPr>
                <w:sz w:val="20"/>
                <w:szCs w:val="20"/>
              </w:rPr>
              <w:t xml:space="preserve">: </w:t>
            </w:r>
          </w:p>
          <w:p w14:paraId="17688313" w14:textId="77777777" w:rsidR="00557DA7" w:rsidRPr="00557DA7" w:rsidRDefault="00557DA7" w:rsidP="00557DA7">
            <w:pPr>
              <w:spacing w:after="0" w:line="240" w:lineRule="auto"/>
              <w:rPr>
                <w:sz w:val="20"/>
                <w:szCs w:val="20"/>
              </w:rPr>
            </w:pPr>
            <w:r w:rsidRPr="00557DA7">
              <w:rPr>
                <w:sz w:val="20"/>
                <w:szCs w:val="20"/>
              </w:rPr>
              <w:t>IRRF</w:t>
            </w:r>
          </w:p>
          <w:p w14:paraId="1F792EB2" w14:textId="77777777" w:rsidR="00557DA7" w:rsidRPr="00557DA7" w:rsidRDefault="00557DA7" w:rsidP="00557DA7">
            <w:pPr>
              <w:spacing w:after="0" w:line="240" w:lineRule="auto"/>
              <w:rPr>
                <w:sz w:val="20"/>
                <w:szCs w:val="20"/>
              </w:rPr>
            </w:pPr>
            <w:r w:rsidRPr="00557DA7">
              <w:rPr>
                <w:sz w:val="20"/>
                <w:szCs w:val="20"/>
              </w:rPr>
              <w:t>IPTU</w:t>
            </w:r>
          </w:p>
          <w:p w14:paraId="07011E63" w14:textId="77777777" w:rsidR="00557DA7" w:rsidRPr="00557DA7" w:rsidRDefault="00557DA7" w:rsidP="00557DA7">
            <w:pPr>
              <w:spacing w:after="0" w:line="240" w:lineRule="auto"/>
              <w:rPr>
                <w:sz w:val="20"/>
                <w:szCs w:val="20"/>
              </w:rPr>
            </w:pPr>
            <w:r w:rsidRPr="00557DA7">
              <w:rPr>
                <w:sz w:val="20"/>
                <w:szCs w:val="20"/>
              </w:rPr>
              <w:t>ITBI</w:t>
            </w:r>
          </w:p>
          <w:p w14:paraId="50F76686" w14:textId="77777777" w:rsidR="00557DA7" w:rsidRPr="00557DA7" w:rsidRDefault="00557DA7" w:rsidP="00557DA7">
            <w:pPr>
              <w:spacing w:after="0" w:line="240" w:lineRule="auto"/>
              <w:rPr>
                <w:sz w:val="20"/>
                <w:szCs w:val="20"/>
              </w:rPr>
            </w:pPr>
            <w:r w:rsidRPr="00557DA7">
              <w:rPr>
                <w:sz w:val="20"/>
                <w:szCs w:val="20"/>
              </w:rPr>
              <w:t>ISS</w:t>
            </w:r>
          </w:p>
          <w:p w14:paraId="3E25031D" w14:textId="77777777" w:rsidR="00557DA7" w:rsidRPr="00557DA7" w:rsidRDefault="00557DA7" w:rsidP="00557DA7">
            <w:pPr>
              <w:spacing w:after="0" w:line="240" w:lineRule="auto"/>
              <w:rPr>
                <w:sz w:val="18"/>
                <w:szCs w:val="18"/>
              </w:rPr>
            </w:pPr>
            <w:r w:rsidRPr="00557DA7">
              <w:rPr>
                <w:sz w:val="18"/>
                <w:szCs w:val="18"/>
              </w:rPr>
              <w:t xml:space="preserve">Lei Complementar 157/2016 (3 itens) -&gt; fato gerador ISS p/ domicilio TOMADOR de serviço (pl. saúde, consórcio e </w:t>
            </w:r>
            <w:proofErr w:type="spellStart"/>
            <w:r w:rsidRPr="00557DA7">
              <w:rPr>
                <w:sz w:val="18"/>
                <w:szCs w:val="18"/>
              </w:rPr>
              <w:t>arrend</w:t>
            </w:r>
            <w:proofErr w:type="spellEnd"/>
            <w:r w:rsidRPr="00557DA7">
              <w:rPr>
                <w:sz w:val="18"/>
                <w:szCs w:val="18"/>
              </w:rPr>
              <w:t xml:space="preserve"> </w:t>
            </w:r>
            <w:proofErr w:type="spellStart"/>
            <w:r w:rsidRPr="00557DA7">
              <w:rPr>
                <w:sz w:val="18"/>
                <w:szCs w:val="18"/>
              </w:rPr>
              <w:t>merc</w:t>
            </w:r>
            <w:proofErr w:type="spellEnd"/>
            <w:r w:rsidRPr="00557DA7">
              <w:rPr>
                <w:sz w:val="18"/>
                <w:szCs w:val="18"/>
              </w:rPr>
              <w:t xml:space="preserve">); </w:t>
            </w:r>
            <w:proofErr w:type="spellStart"/>
            <w:r w:rsidRPr="00557DA7">
              <w:rPr>
                <w:sz w:val="18"/>
                <w:szCs w:val="18"/>
              </w:rPr>
              <w:t>imped</w:t>
            </w:r>
            <w:proofErr w:type="spellEnd"/>
            <w:r w:rsidRPr="00557DA7">
              <w:rPr>
                <w:sz w:val="18"/>
                <w:szCs w:val="18"/>
              </w:rPr>
              <w:t xml:space="preserve"> </w:t>
            </w:r>
            <w:proofErr w:type="spellStart"/>
            <w:r w:rsidRPr="00557DA7">
              <w:rPr>
                <w:sz w:val="18"/>
                <w:szCs w:val="18"/>
              </w:rPr>
              <w:t>alíqu</w:t>
            </w:r>
            <w:proofErr w:type="spellEnd"/>
            <w:r w:rsidRPr="00557DA7">
              <w:rPr>
                <w:sz w:val="18"/>
                <w:szCs w:val="18"/>
              </w:rPr>
              <w:t xml:space="preserve"> abaixo 2% e ampliação de serviços. ADI5835=setores financeiros</w:t>
            </w:r>
          </w:p>
          <w:p w14:paraId="2CF5409C" w14:textId="77777777" w:rsidR="00557DA7" w:rsidRPr="00557DA7" w:rsidRDefault="00557DA7" w:rsidP="00557DA7">
            <w:pPr>
              <w:spacing w:after="0" w:line="240" w:lineRule="auto"/>
              <w:rPr>
                <w:sz w:val="18"/>
                <w:szCs w:val="18"/>
              </w:rPr>
            </w:pPr>
            <w:r w:rsidRPr="00557DA7">
              <w:rPr>
                <w:sz w:val="18"/>
                <w:szCs w:val="18"/>
              </w:rPr>
              <w:t xml:space="preserve">2016 veto trechos onde realmente ocorrem transações </w:t>
            </w:r>
            <w:proofErr w:type="spellStart"/>
            <w:r w:rsidRPr="00557DA7">
              <w:rPr>
                <w:sz w:val="18"/>
                <w:szCs w:val="18"/>
              </w:rPr>
              <w:t>op</w:t>
            </w:r>
            <w:proofErr w:type="spellEnd"/>
            <w:r w:rsidRPr="00557DA7">
              <w:rPr>
                <w:sz w:val="18"/>
                <w:szCs w:val="18"/>
              </w:rPr>
              <w:t xml:space="preserve"> c. </w:t>
            </w:r>
            <w:proofErr w:type="spellStart"/>
            <w:r w:rsidRPr="00557DA7">
              <w:rPr>
                <w:sz w:val="18"/>
                <w:szCs w:val="18"/>
              </w:rPr>
              <w:t>créd</w:t>
            </w:r>
            <w:proofErr w:type="spellEnd"/>
            <w:r w:rsidRPr="00557DA7">
              <w:rPr>
                <w:sz w:val="18"/>
                <w:szCs w:val="18"/>
              </w:rPr>
              <w:t>/</w:t>
            </w:r>
            <w:proofErr w:type="spellStart"/>
            <w:r w:rsidRPr="00557DA7">
              <w:rPr>
                <w:sz w:val="18"/>
                <w:szCs w:val="18"/>
              </w:rPr>
              <w:t>déb</w:t>
            </w:r>
            <w:proofErr w:type="spellEnd"/>
            <w:r w:rsidRPr="00557DA7">
              <w:rPr>
                <w:sz w:val="18"/>
                <w:szCs w:val="18"/>
              </w:rPr>
              <w:t xml:space="preserve"> / leasing e planos de saúde, derrubado em 2017</w:t>
            </w:r>
          </w:p>
          <w:p w14:paraId="57BC68AD" w14:textId="77777777" w:rsidR="00557DA7" w:rsidRPr="00557DA7" w:rsidRDefault="00557DA7" w:rsidP="00557DA7">
            <w:pPr>
              <w:spacing w:after="0" w:line="240" w:lineRule="auto"/>
              <w:rPr>
                <w:sz w:val="18"/>
                <w:szCs w:val="18"/>
              </w:rPr>
            </w:pPr>
            <w:r w:rsidRPr="00557DA7">
              <w:rPr>
                <w:sz w:val="18"/>
                <w:szCs w:val="18"/>
              </w:rPr>
              <w:t>Lei Complementar 175/2020 -&gt; ISS vai para onde o serviço é de fato prestado</w:t>
            </w:r>
          </w:p>
          <w:p w14:paraId="7208A40A" w14:textId="77777777" w:rsidR="00557DA7" w:rsidRPr="00557DA7" w:rsidRDefault="00557DA7" w:rsidP="00557DA7">
            <w:pPr>
              <w:spacing w:after="0" w:line="240" w:lineRule="auto"/>
              <w:rPr>
                <w:sz w:val="18"/>
                <w:szCs w:val="18"/>
              </w:rPr>
            </w:pPr>
            <w:r w:rsidRPr="00557DA7">
              <w:rPr>
                <w:sz w:val="18"/>
                <w:szCs w:val="18"/>
              </w:rPr>
              <w:t>Taxas</w:t>
            </w:r>
          </w:p>
          <w:p w14:paraId="508A02C0" w14:textId="77777777" w:rsidR="00557DA7" w:rsidRPr="00557DA7" w:rsidRDefault="00557DA7" w:rsidP="00557DA7">
            <w:pPr>
              <w:spacing w:after="0" w:line="240" w:lineRule="auto"/>
              <w:rPr>
                <w:sz w:val="18"/>
                <w:szCs w:val="18"/>
              </w:rPr>
            </w:pPr>
            <w:r w:rsidRPr="00557DA7">
              <w:rPr>
                <w:sz w:val="18"/>
                <w:szCs w:val="18"/>
              </w:rPr>
              <w:t xml:space="preserve">Contribuições </w:t>
            </w:r>
            <w:proofErr w:type="spellStart"/>
            <w:r w:rsidRPr="00557DA7">
              <w:rPr>
                <w:sz w:val="18"/>
                <w:szCs w:val="18"/>
              </w:rPr>
              <w:t>def</w:t>
            </w:r>
            <w:proofErr w:type="spellEnd"/>
            <w:r w:rsidRPr="00557DA7">
              <w:rPr>
                <w:sz w:val="18"/>
                <w:szCs w:val="18"/>
              </w:rPr>
              <w:t xml:space="preserve"> p/ </w:t>
            </w:r>
            <w:proofErr w:type="spellStart"/>
            <w:r w:rsidRPr="00557DA7">
              <w:rPr>
                <w:sz w:val="18"/>
                <w:szCs w:val="18"/>
              </w:rPr>
              <w:t>art</w:t>
            </w:r>
            <w:proofErr w:type="spellEnd"/>
            <w:r w:rsidRPr="00557DA7">
              <w:rPr>
                <w:sz w:val="18"/>
                <w:szCs w:val="18"/>
              </w:rPr>
              <w:t xml:space="preserve"> 5º Lei 5.172/1966 (CTN) forma de tributação lançada de modo compulsório p custear </w:t>
            </w:r>
            <w:proofErr w:type="spellStart"/>
            <w:r w:rsidRPr="00557DA7">
              <w:rPr>
                <w:sz w:val="18"/>
                <w:szCs w:val="18"/>
              </w:rPr>
              <w:t>despeso</w:t>
            </w:r>
            <w:proofErr w:type="spellEnd"/>
            <w:r w:rsidRPr="00557DA7">
              <w:rPr>
                <w:sz w:val="18"/>
                <w:szCs w:val="18"/>
              </w:rPr>
              <w:t xml:space="preserve"> p/ serviço prestado.</w:t>
            </w:r>
          </w:p>
          <w:p w14:paraId="599867F9" w14:textId="77777777" w:rsidR="00557DA7" w:rsidRPr="00557DA7" w:rsidRDefault="00557DA7" w:rsidP="00557DA7">
            <w:pPr>
              <w:spacing w:after="0" w:line="240" w:lineRule="auto"/>
              <w:rPr>
                <w:sz w:val="18"/>
                <w:szCs w:val="18"/>
              </w:rPr>
            </w:pPr>
            <w:r w:rsidRPr="00557DA7">
              <w:rPr>
                <w:sz w:val="18"/>
                <w:szCs w:val="18"/>
              </w:rPr>
              <w:t>Não confundir com Preço Público = solicitação de serviço ou utilização de bem público.</w:t>
            </w:r>
          </w:p>
          <w:p w14:paraId="46D9AEB2" w14:textId="77777777" w:rsidR="00557DA7" w:rsidRPr="00557DA7" w:rsidRDefault="00557DA7" w:rsidP="00557DA7">
            <w:pPr>
              <w:spacing w:after="0" w:line="240" w:lineRule="auto"/>
              <w:rPr>
                <w:sz w:val="18"/>
                <w:szCs w:val="18"/>
              </w:rPr>
            </w:pPr>
            <w:r w:rsidRPr="00557DA7">
              <w:rPr>
                <w:sz w:val="18"/>
                <w:szCs w:val="18"/>
              </w:rPr>
              <w:t>Mais em Nota Técnica sobre taxas e Preço Público na biblioteca digital CNM. 2 tipos</w:t>
            </w:r>
          </w:p>
          <w:p w14:paraId="280FCA71" w14:textId="77777777" w:rsidR="00557DA7" w:rsidRPr="00557DA7" w:rsidRDefault="00557DA7" w:rsidP="00557DA7">
            <w:pPr>
              <w:spacing w:after="0" w:line="240" w:lineRule="auto"/>
              <w:rPr>
                <w:sz w:val="18"/>
                <w:szCs w:val="18"/>
              </w:rPr>
            </w:pPr>
            <w:r w:rsidRPr="00557DA7">
              <w:rPr>
                <w:sz w:val="18"/>
                <w:szCs w:val="18"/>
              </w:rPr>
              <w:t>* exercido pelo Poder de Polícia</w:t>
            </w:r>
          </w:p>
          <w:p w14:paraId="00D61A7C" w14:textId="77777777" w:rsidR="00557DA7" w:rsidRPr="00557DA7" w:rsidRDefault="00557DA7" w:rsidP="00557DA7">
            <w:pPr>
              <w:spacing w:after="0" w:line="240" w:lineRule="auto"/>
              <w:rPr>
                <w:sz w:val="18"/>
                <w:szCs w:val="18"/>
              </w:rPr>
            </w:pPr>
            <w:r w:rsidRPr="00557DA7">
              <w:rPr>
                <w:sz w:val="18"/>
                <w:szCs w:val="18"/>
              </w:rPr>
              <w:t>* prestação de serviço público (coleta de lixo, anúncios ou publicidades, licenciamento de obras, vigilância e saúde, alvará de licença e funcionamento, fiscalização de veículos do transporte público)</w:t>
            </w:r>
          </w:p>
          <w:p w14:paraId="30C2BAD3" w14:textId="77777777" w:rsidR="00557DA7" w:rsidRPr="00557DA7" w:rsidRDefault="00557DA7" w:rsidP="00557DA7">
            <w:pPr>
              <w:spacing w:after="0" w:line="240" w:lineRule="auto"/>
              <w:rPr>
                <w:sz w:val="18"/>
                <w:szCs w:val="18"/>
              </w:rPr>
            </w:pPr>
            <w:r w:rsidRPr="00557DA7">
              <w:rPr>
                <w:sz w:val="18"/>
                <w:szCs w:val="18"/>
              </w:rPr>
              <w:t xml:space="preserve">Se não efetuar o lançamento de taxas, o município pode sofrer apontamento por renúncia </w:t>
            </w:r>
            <w:proofErr w:type="gramStart"/>
            <w:r w:rsidRPr="00557DA7">
              <w:rPr>
                <w:sz w:val="18"/>
                <w:szCs w:val="18"/>
              </w:rPr>
              <w:t>de receita</w:t>
            </w:r>
            <w:proofErr w:type="gramEnd"/>
            <w:r w:rsidRPr="00557DA7">
              <w:rPr>
                <w:sz w:val="18"/>
                <w:szCs w:val="18"/>
              </w:rPr>
              <w:t xml:space="preserve"> porém, pode em Lei Municipal, conceder isenções desde que observadas a LRF, qualquer benefício deve ser observado na LDO, acompanhado de uma estimativa de impacto orçamentário-financeiro.</w:t>
            </w:r>
          </w:p>
          <w:p w14:paraId="3985F7D6" w14:textId="77777777" w:rsidR="00557DA7" w:rsidRPr="00557DA7" w:rsidRDefault="00557DA7" w:rsidP="00557DA7">
            <w:pPr>
              <w:spacing w:after="0" w:line="240" w:lineRule="auto"/>
              <w:rPr>
                <w:sz w:val="18"/>
                <w:szCs w:val="18"/>
              </w:rPr>
            </w:pPr>
            <w:r w:rsidRPr="00557DA7">
              <w:rPr>
                <w:sz w:val="18"/>
                <w:szCs w:val="18"/>
              </w:rPr>
              <w:t xml:space="preserve">Como aumentar: implantar, especialmente de poder de polícia, ágil comunicação com os inadimplentes, guinchamento, erradicação de insetos, serviços de expediente, </w:t>
            </w:r>
            <w:proofErr w:type="spellStart"/>
            <w:r w:rsidRPr="00557DA7">
              <w:rPr>
                <w:sz w:val="18"/>
                <w:szCs w:val="18"/>
              </w:rPr>
              <w:t>aut</w:t>
            </w:r>
            <w:proofErr w:type="spellEnd"/>
            <w:r w:rsidRPr="00557DA7">
              <w:rPr>
                <w:sz w:val="18"/>
                <w:szCs w:val="18"/>
              </w:rPr>
              <w:t xml:space="preserve"> uso área pública, </w:t>
            </w:r>
            <w:proofErr w:type="spellStart"/>
            <w:r w:rsidRPr="00557DA7">
              <w:rPr>
                <w:sz w:val="18"/>
                <w:szCs w:val="18"/>
              </w:rPr>
              <w:t>serv</w:t>
            </w:r>
            <w:proofErr w:type="spellEnd"/>
            <w:r w:rsidRPr="00557DA7">
              <w:rPr>
                <w:sz w:val="18"/>
                <w:szCs w:val="18"/>
              </w:rPr>
              <w:t xml:space="preserve"> funerais, abatedouros, mercado municipal, coleta lixo especial, pavimentação de calçadas...</w:t>
            </w:r>
          </w:p>
          <w:p w14:paraId="6381A126" w14:textId="77777777" w:rsidR="00557DA7" w:rsidRPr="00557DA7" w:rsidRDefault="00557DA7" w:rsidP="00557DA7">
            <w:pPr>
              <w:spacing w:after="0" w:line="240" w:lineRule="auto"/>
              <w:rPr>
                <w:sz w:val="18"/>
                <w:szCs w:val="18"/>
              </w:rPr>
            </w:pPr>
            <w:r w:rsidRPr="00557DA7">
              <w:rPr>
                <w:sz w:val="18"/>
                <w:szCs w:val="18"/>
              </w:rPr>
              <w:t>Contribuições</w:t>
            </w:r>
          </w:p>
          <w:p w14:paraId="7F100D36" w14:textId="77777777" w:rsidR="00557DA7" w:rsidRPr="00557DA7" w:rsidRDefault="00557DA7" w:rsidP="00557DA7">
            <w:pPr>
              <w:spacing w:after="0" w:line="240" w:lineRule="auto"/>
              <w:rPr>
                <w:sz w:val="18"/>
                <w:szCs w:val="18"/>
              </w:rPr>
            </w:pPr>
            <w:r w:rsidRPr="00557DA7">
              <w:rPr>
                <w:sz w:val="18"/>
                <w:szCs w:val="18"/>
              </w:rPr>
              <w:t xml:space="preserve">Contribuição de Melhoria: CF </w:t>
            </w:r>
            <w:proofErr w:type="spellStart"/>
            <w:r w:rsidRPr="00557DA7">
              <w:rPr>
                <w:sz w:val="18"/>
                <w:szCs w:val="18"/>
              </w:rPr>
              <w:t>art</w:t>
            </w:r>
            <w:proofErr w:type="spellEnd"/>
            <w:r w:rsidRPr="00557DA7">
              <w:rPr>
                <w:sz w:val="18"/>
                <w:szCs w:val="18"/>
              </w:rPr>
              <w:t xml:space="preserve"> 145 </w:t>
            </w:r>
            <w:proofErr w:type="spellStart"/>
            <w:r w:rsidRPr="00557DA7">
              <w:rPr>
                <w:sz w:val="18"/>
                <w:szCs w:val="18"/>
              </w:rPr>
              <w:t>inc</w:t>
            </w:r>
            <w:proofErr w:type="spellEnd"/>
            <w:r w:rsidRPr="00557DA7">
              <w:rPr>
                <w:sz w:val="18"/>
                <w:szCs w:val="18"/>
              </w:rPr>
              <w:t xml:space="preserve"> III, obras públicas, arrecadar o que foi investido, o CUSTO DA OBRA é o limite da contribuição, mesmo que valorize mais, casos estão previstos DL 195/1967 </w:t>
            </w:r>
            <w:proofErr w:type="spellStart"/>
            <w:r w:rsidRPr="00557DA7">
              <w:rPr>
                <w:sz w:val="18"/>
                <w:szCs w:val="18"/>
              </w:rPr>
              <w:t>art</w:t>
            </w:r>
            <w:proofErr w:type="spellEnd"/>
            <w:r w:rsidRPr="00557DA7">
              <w:rPr>
                <w:sz w:val="18"/>
                <w:szCs w:val="18"/>
              </w:rPr>
              <w:t xml:space="preserve"> 2º</w:t>
            </w:r>
          </w:p>
          <w:p w14:paraId="25D7CBBA" w14:textId="77777777" w:rsidR="00557DA7" w:rsidRPr="00557DA7" w:rsidRDefault="00557DA7" w:rsidP="00557DA7">
            <w:pPr>
              <w:spacing w:after="0" w:line="240" w:lineRule="auto"/>
              <w:rPr>
                <w:sz w:val="18"/>
                <w:szCs w:val="18"/>
              </w:rPr>
            </w:pPr>
            <w:r w:rsidRPr="00557DA7">
              <w:rPr>
                <w:sz w:val="18"/>
                <w:szCs w:val="18"/>
              </w:rPr>
              <w:t>Contribuição de Custeio de Iluminação Pública (</w:t>
            </w:r>
            <w:proofErr w:type="spellStart"/>
            <w:r w:rsidRPr="00557DA7">
              <w:rPr>
                <w:sz w:val="18"/>
                <w:szCs w:val="18"/>
              </w:rPr>
              <w:t>Cosip</w:t>
            </w:r>
            <w:proofErr w:type="spellEnd"/>
            <w:r w:rsidRPr="00557DA7">
              <w:rPr>
                <w:sz w:val="18"/>
                <w:szCs w:val="18"/>
              </w:rPr>
              <w:t xml:space="preserve">) - CF art. 149-A - instituir por meio de Lei, definindo alíquotas, contribuintes, isenções, forma de arrecadação (inclusive na conta de energia). O recurso conforme CF deve ser destinado </w:t>
            </w:r>
          </w:p>
          <w:p w14:paraId="4A3B0677" w14:textId="62AF62D4" w:rsidR="00557DA7" w:rsidRPr="00557DA7" w:rsidRDefault="00557DA7" w:rsidP="00557DA7">
            <w:pPr>
              <w:rPr>
                <w:sz w:val="20"/>
                <w:szCs w:val="20"/>
              </w:rPr>
            </w:pPr>
            <w:r w:rsidRPr="00557DA7">
              <w:rPr>
                <w:sz w:val="18"/>
                <w:szCs w:val="18"/>
              </w:rPr>
              <w:t>DÍVIDA ATIVA (DA)</w:t>
            </w:r>
          </w:p>
        </w:tc>
      </w:tr>
      <w:tr w:rsidR="00557DA7" w:rsidRPr="00557DA7" w14:paraId="3783EF9B" w14:textId="7C97F22C" w:rsidTr="00557DA7">
        <w:trPr>
          <w:trHeight w:val="188"/>
        </w:trPr>
        <w:tc>
          <w:tcPr>
            <w:tcW w:w="4037" w:type="dxa"/>
            <w:noWrap/>
            <w:hideMark/>
          </w:tcPr>
          <w:p w14:paraId="5B03B001" w14:textId="77777777" w:rsidR="00557DA7" w:rsidRPr="00557DA7" w:rsidRDefault="00557DA7">
            <w:pPr>
              <w:rPr>
                <w:b/>
                <w:bCs/>
                <w:sz w:val="20"/>
                <w:szCs w:val="20"/>
              </w:rPr>
            </w:pPr>
            <w:r w:rsidRPr="00557DA7">
              <w:rPr>
                <w:b/>
                <w:bCs/>
                <w:sz w:val="20"/>
                <w:szCs w:val="20"/>
              </w:rPr>
              <w:t>Outras Receitas Tributárias</w:t>
            </w:r>
          </w:p>
        </w:tc>
        <w:tc>
          <w:tcPr>
            <w:tcW w:w="6731" w:type="dxa"/>
          </w:tcPr>
          <w:p w14:paraId="11516FC0" w14:textId="7A0C6411" w:rsidR="00557DA7" w:rsidRPr="00557DA7" w:rsidRDefault="00557DA7" w:rsidP="00557DA7">
            <w:pPr>
              <w:spacing w:after="0" w:line="240" w:lineRule="auto"/>
              <w:rPr>
                <w:sz w:val="20"/>
                <w:szCs w:val="20"/>
              </w:rPr>
            </w:pPr>
            <w:r w:rsidRPr="00557DA7">
              <w:rPr>
                <w:sz w:val="20"/>
                <w:szCs w:val="20"/>
              </w:rPr>
              <w:t>Fiscalização</w:t>
            </w:r>
            <w:r>
              <w:rPr>
                <w:sz w:val="20"/>
                <w:szCs w:val="20"/>
              </w:rPr>
              <w:t xml:space="preserve">, </w:t>
            </w:r>
            <w:r w:rsidRPr="00557DA7">
              <w:rPr>
                <w:sz w:val="20"/>
                <w:szCs w:val="20"/>
              </w:rPr>
              <w:t>Vigilância Sanit</w:t>
            </w:r>
            <w:r>
              <w:rPr>
                <w:sz w:val="20"/>
                <w:szCs w:val="20"/>
              </w:rPr>
              <w:t xml:space="preserve">ária, </w:t>
            </w:r>
            <w:r w:rsidRPr="00557DA7">
              <w:rPr>
                <w:sz w:val="20"/>
                <w:szCs w:val="20"/>
              </w:rPr>
              <w:t>Ambiental</w:t>
            </w:r>
            <w:r>
              <w:rPr>
                <w:sz w:val="20"/>
                <w:szCs w:val="20"/>
              </w:rPr>
              <w:t xml:space="preserve">, </w:t>
            </w:r>
            <w:r w:rsidRPr="00557DA7">
              <w:rPr>
                <w:sz w:val="20"/>
                <w:szCs w:val="20"/>
              </w:rPr>
              <w:t>Licenças</w:t>
            </w:r>
            <w:r>
              <w:rPr>
                <w:sz w:val="20"/>
                <w:szCs w:val="20"/>
              </w:rPr>
              <w:t xml:space="preserve">, </w:t>
            </w:r>
            <w:r w:rsidRPr="00557DA7">
              <w:rPr>
                <w:sz w:val="20"/>
                <w:szCs w:val="20"/>
              </w:rPr>
              <w:t>Obras</w:t>
            </w:r>
            <w:r>
              <w:rPr>
                <w:sz w:val="20"/>
                <w:szCs w:val="20"/>
              </w:rPr>
              <w:t xml:space="preserve">, </w:t>
            </w:r>
            <w:proofErr w:type="spellStart"/>
            <w:r w:rsidRPr="00557DA7">
              <w:rPr>
                <w:sz w:val="20"/>
                <w:szCs w:val="20"/>
              </w:rPr>
              <w:t>Func</w:t>
            </w:r>
            <w:proofErr w:type="spellEnd"/>
            <w:r w:rsidRPr="00557DA7">
              <w:rPr>
                <w:sz w:val="20"/>
                <w:szCs w:val="20"/>
              </w:rPr>
              <w:t xml:space="preserve"> </w:t>
            </w:r>
            <w:proofErr w:type="spellStart"/>
            <w:r w:rsidRPr="00557DA7">
              <w:rPr>
                <w:sz w:val="20"/>
                <w:szCs w:val="20"/>
              </w:rPr>
              <w:t>Estab</w:t>
            </w:r>
            <w:proofErr w:type="spellEnd"/>
            <w:r>
              <w:rPr>
                <w:sz w:val="20"/>
                <w:szCs w:val="20"/>
              </w:rPr>
              <w:t xml:space="preserve">, </w:t>
            </w:r>
          </w:p>
          <w:p w14:paraId="6C327D04" w14:textId="19CE8BA7" w:rsidR="00557DA7" w:rsidRPr="00557DA7" w:rsidRDefault="00557DA7" w:rsidP="00557DA7">
            <w:pPr>
              <w:rPr>
                <w:sz w:val="20"/>
                <w:szCs w:val="20"/>
              </w:rPr>
            </w:pPr>
            <w:r w:rsidRPr="00557DA7">
              <w:rPr>
                <w:sz w:val="20"/>
                <w:szCs w:val="20"/>
              </w:rPr>
              <w:t>Certidões</w:t>
            </w:r>
            <w:r>
              <w:rPr>
                <w:sz w:val="20"/>
                <w:szCs w:val="20"/>
              </w:rPr>
              <w:t xml:space="preserve">, </w:t>
            </w:r>
            <w:r w:rsidRPr="00557DA7">
              <w:rPr>
                <w:sz w:val="20"/>
                <w:szCs w:val="20"/>
              </w:rPr>
              <w:t>Limpeza Pública</w:t>
            </w:r>
            <w:r>
              <w:rPr>
                <w:sz w:val="20"/>
                <w:szCs w:val="20"/>
              </w:rPr>
              <w:t xml:space="preserve">, </w:t>
            </w:r>
            <w:r w:rsidRPr="00557DA7">
              <w:rPr>
                <w:sz w:val="20"/>
                <w:szCs w:val="20"/>
              </w:rPr>
              <w:t xml:space="preserve">Pavimentação e obras </w:t>
            </w:r>
            <w:proofErr w:type="spellStart"/>
            <w:r w:rsidRPr="00557DA7">
              <w:rPr>
                <w:sz w:val="20"/>
                <w:szCs w:val="20"/>
              </w:rPr>
              <w:t>complem</w:t>
            </w:r>
            <w:proofErr w:type="spellEnd"/>
          </w:p>
        </w:tc>
      </w:tr>
      <w:tr w:rsidR="00557DA7" w:rsidRPr="00557DA7" w14:paraId="2B9ECCA1" w14:textId="515A4CAD" w:rsidTr="00557DA7">
        <w:trPr>
          <w:trHeight w:val="188"/>
        </w:trPr>
        <w:tc>
          <w:tcPr>
            <w:tcW w:w="4037" w:type="dxa"/>
            <w:noWrap/>
            <w:hideMark/>
          </w:tcPr>
          <w:p w14:paraId="5F11094E" w14:textId="19130DB3" w:rsidR="00557DA7" w:rsidRPr="00557DA7" w:rsidRDefault="00557DA7">
            <w:pPr>
              <w:rPr>
                <w:b/>
                <w:bCs/>
                <w:sz w:val="20"/>
                <w:szCs w:val="20"/>
              </w:rPr>
            </w:pPr>
            <w:proofErr w:type="spellStart"/>
            <w:r w:rsidRPr="00557DA7">
              <w:rPr>
                <w:b/>
                <w:bCs/>
                <w:sz w:val="20"/>
                <w:szCs w:val="20"/>
              </w:rPr>
              <w:t>Rec</w:t>
            </w:r>
            <w:proofErr w:type="spellEnd"/>
            <w:r w:rsidRPr="00557DA7">
              <w:rPr>
                <w:b/>
                <w:bCs/>
                <w:sz w:val="20"/>
                <w:szCs w:val="20"/>
              </w:rPr>
              <w:t xml:space="preserve"> Patrimoniais</w:t>
            </w:r>
          </w:p>
        </w:tc>
        <w:tc>
          <w:tcPr>
            <w:tcW w:w="6731" w:type="dxa"/>
          </w:tcPr>
          <w:p w14:paraId="103C5B32" w14:textId="51C74A82" w:rsidR="00557DA7" w:rsidRPr="00557DA7" w:rsidRDefault="00557DA7">
            <w:pPr>
              <w:rPr>
                <w:sz w:val="20"/>
                <w:szCs w:val="20"/>
              </w:rPr>
            </w:pPr>
            <w:r>
              <w:rPr>
                <w:sz w:val="20"/>
                <w:szCs w:val="20"/>
              </w:rPr>
              <w:t>Remuneração dos valores aplicados (dinheiro aplicado em banco)</w:t>
            </w:r>
          </w:p>
        </w:tc>
      </w:tr>
      <w:tr w:rsidR="00557DA7" w:rsidRPr="00557DA7" w14:paraId="22B25FED" w14:textId="7683588A" w:rsidTr="00557DA7">
        <w:trPr>
          <w:trHeight w:val="188"/>
        </w:trPr>
        <w:tc>
          <w:tcPr>
            <w:tcW w:w="4037" w:type="dxa"/>
            <w:noWrap/>
            <w:hideMark/>
          </w:tcPr>
          <w:p w14:paraId="061D076C" w14:textId="77777777" w:rsidR="00557DA7" w:rsidRPr="00557DA7" w:rsidRDefault="00557DA7">
            <w:pPr>
              <w:rPr>
                <w:b/>
                <w:bCs/>
                <w:sz w:val="20"/>
                <w:szCs w:val="20"/>
              </w:rPr>
            </w:pPr>
            <w:r w:rsidRPr="00557DA7">
              <w:rPr>
                <w:b/>
                <w:bCs/>
                <w:sz w:val="20"/>
                <w:szCs w:val="20"/>
              </w:rPr>
              <w:t>Receitas de Serviços</w:t>
            </w:r>
          </w:p>
        </w:tc>
        <w:tc>
          <w:tcPr>
            <w:tcW w:w="6731" w:type="dxa"/>
          </w:tcPr>
          <w:p w14:paraId="27E89BFF" w14:textId="777A9218" w:rsidR="00557DA7" w:rsidRPr="00557DA7" w:rsidRDefault="00557DA7">
            <w:pPr>
              <w:rPr>
                <w:sz w:val="20"/>
                <w:szCs w:val="20"/>
              </w:rPr>
            </w:pPr>
            <w:proofErr w:type="spellStart"/>
            <w:r w:rsidRPr="00557DA7">
              <w:rPr>
                <w:sz w:val="20"/>
                <w:szCs w:val="20"/>
              </w:rPr>
              <w:t>Serv</w:t>
            </w:r>
            <w:proofErr w:type="spellEnd"/>
            <w:r w:rsidRPr="00557DA7">
              <w:rPr>
                <w:sz w:val="20"/>
                <w:szCs w:val="20"/>
              </w:rPr>
              <w:t xml:space="preserve"> </w:t>
            </w:r>
            <w:proofErr w:type="spellStart"/>
            <w:r w:rsidRPr="00557DA7">
              <w:rPr>
                <w:sz w:val="20"/>
                <w:szCs w:val="20"/>
              </w:rPr>
              <w:t>Recreat</w:t>
            </w:r>
            <w:proofErr w:type="spellEnd"/>
            <w:r w:rsidRPr="00557DA7">
              <w:rPr>
                <w:sz w:val="20"/>
                <w:szCs w:val="20"/>
              </w:rPr>
              <w:t>/Cult/</w:t>
            </w:r>
            <w:proofErr w:type="spellStart"/>
            <w:r w:rsidRPr="00557DA7">
              <w:rPr>
                <w:sz w:val="20"/>
                <w:szCs w:val="20"/>
              </w:rPr>
              <w:t>Desport</w:t>
            </w:r>
            <w:proofErr w:type="spellEnd"/>
            <w:r>
              <w:rPr>
                <w:sz w:val="20"/>
                <w:szCs w:val="20"/>
              </w:rPr>
              <w:t xml:space="preserve"> (aluguel ginásio) , </w:t>
            </w:r>
            <w:r w:rsidRPr="00557DA7">
              <w:rPr>
                <w:sz w:val="20"/>
                <w:szCs w:val="20"/>
              </w:rPr>
              <w:t>Prep</w:t>
            </w:r>
            <w:r>
              <w:rPr>
                <w:sz w:val="20"/>
                <w:szCs w:val="20"/>
              </w:rPr>
              <w:t xml:space="preserve">aração de </w:t>
            </w:r>
            <w:r w:rsidRPr="00557DA7">
              <w:rPr>
                <w:sz w:val="20"/>
                <w:szCs w:val="20"/>
              </w:rPr>
              <w:t>terra</w:t>
            </w:r>
            <w:r>
              <w:rPr>
                <w:sz w:val="20"/>
                <w:szCs w:val="20"/>
              </w:rPr>
              <w:t xml:space="preserve">,  </w:t>
            </w:r>
            <w:r w:rsidRPr="00557DA7">
              <w:rPr>
                <w:sz w:val="20"/>
                <w:szCs w:val="20"/>
              </w:rPr>
              <w:t>multa</w:t>
            </w:r>
            <w:r>
              <w:rPr>
                <w:sz w:val="20"/>
                <w:szCs w:val="20"/>
              </w:rPr>
              <w:t xml:space="preserve"> </w:t>
            </w:r>
            <w:r w:rsidRPr="00557DA7">
              <w:rPr>
                <w:sz w:val="20"/>
                <w:szCs w:val="20"/>
              </w:rPr>
              <w:t>+</w:t>
            </w:r>
            <w:r>
              <w:rPr>
                <w:sz w:val="20"/>
                <w:szCs w:val="20"/>
              </w:rPr>
              <w:t xml:space="preserve"> </w:t>
            </w:r>
            <w:r w:rsidRPr="00557DA7">
              <w:rPr>
                <w:sz w:val="20"/>
                <w:szCs w:val="20"/>
              </w:rPr>
              <w:t>dív</w:t>
            </w:r>
            <w:r>
              <w:rPr>
                <w:sz w:val="20"/>
                <w:szCs w:val="20"/>
              </w:rPr>
              <w:t xml:space="preserve">idas de </w:t>
            </w:r>
            <w:r w:rsidRPr="00557DA7">
              <w:rPr>
                <w:sz w:val="20"/>
                <w:szCs w:val="20"/>
              </w:rPr>
              <w:t xml:space="preserve"> prep</w:t>
            </w:r>
            <w:r>
              <w:rPr>
                <w:sz w:val="20"/>
                <w:szCs w:val="20"/>
              </w:rPr>
              <w:t>aração de</w:t>
            </w:r>
            <w:r w:rsidRPr="00557DA7">
              <w:rPr>
                <w:sz w:val="20"/>
                <w:szCs w:val="20"/>
              </w:rPr>
              <w:t xml:space="preserve"> terra</w:t>
            </w:r>
            <w:r>
              <w:rPr>
                <w:sz w:val="20"/>
                <w:szCs w:val="20"/>
              </w:rPr>
              <w:t xml:space="preserve">, </w:t>
            </w:r>
            <w:r w:rsidRPr="00557DA7">
              <w:rPr>
                <w:sz w:val="20"/>
                <w:szCs w:val="20"/>
              </w:rPr>
              <w:t>Transporte Estudantes</w:t>
            </w:r>
          </w:p>
        </w:tc>
      </w:tr>
      <w:tr w:rsidR="00557DA7" w:rsidRPr="00557DA7" w14:paraId="7BA07949" w14:textId="60FBE53A" w:rsidTr="007E13A4">
        <w:trPr>
          <w:trHeight w:val="188"/>
        </w:trPr>
        <w:tc>
          <w:tcPr>
            <w:tcW w:w="4037" w:type="dxa"/>
            <w:shd w:val="clear" w:color="auto" w:fill="00B0F0"/>
            <w:noWrap/>
            <w:hideMark/>
          </w:tcPr>
          <w:p w14:paraId="3E707760" w14:textId="77777777" w:rsidR="00557DA7" w:rsidRPr="00557DA7" w:rsidRDefault="00557DA7">
            <w:pPr>
              <w:rPr>
                <w:b/>
                <w:bCs/>
                <w:sz w:val="20"/>
                <w:szCs w:val="20"/>
              </w:rPr>
            </w:pPr>
            <w:r w:rsidRPr="00557DA7">
              <w:rPr>
                <w:b/>
                <w:bCs/>
                <w:sz w:val="20"/>
                <w:szCs w:val="20"/>
              </w:rPr>
              <w:t>FPM</w:t>
            </w:r>
          </w:p>
        </w:tc>
        <w:tc>
          <w:tcPr>
            <w:tcW w:w="6731" w:type="dxa"/>
          </w:tcPr>
          <w:p w14:paraId="1773AD3B" w14:textId="77777777" w:rsidR="00557DA7" w:rsidRPr="00557DA7" w:rsidRDefault="00557DA7" w:rsidP="00557DA7">
            <w:pPr>
              <w:spacing w:after="0" w:line="240" w:lineRule="auto"/>
              <w:rPr>
                <w:sz w:val="20"/>
                <w:szCs w:val="20"/>
              </w:rPr>
            </w:pPr>
            <w:r w:rsidRPr="00557DA7">
              <w:rPr>
                <w:sz w:val="20"/>
                <w:szCs w:val="20"/>
              </w:rPr>
              <w:t>FPM - Art. 159 CF - dias 10, 20 e 30 (antecipa se fim de sem/feriado)</w:t>
            </w:r>
          </w:p>
          <w:p w14:paraId="4BC9701F" w14:textId="77777777" w:rsidR="00557DA7" w:rsidRPr="00557DA7" w:rsidRDefault="00557DA7" w:rsidP="00557DA7">
            <w:pPr>
              <w:spacing w:after="0" w:line="240" w:lineRule="auto"/>
              <w:rPr>
                <w:sz w:val="20"/>
                <w:szCs w:val="20"/>
              </w:rPr>
            </w:pPr>
            <w:r w:rsidRPr="00557DA7">
              <w:rPr>
                <w:sz w:val="20"/>
                <w:szCs w:val="20"/>
              </w:rPr>
              <w:t>22,5% da arrecadação da União</w:t>
            </w:r>
          </w:p>
          <w:p w14:paraId="09DF3E3D" w14:textId="77777777" w:rsidR="00557DA7" w:rsidRPr="00557DA7" w:rsidRDefault="00557DA7" w:rsidP="00557DA7">
            <w:pPr>
              <w:spacing w:after="0" w:line="240" w:lineRule="auto"/>
              <w:rPr>
                <w:sz w:val="20"/>
                <w:szCs w:val="20"/>
              </w:rPr>
            </w:pPr>
            <w:r w:rsidRPr="00557DA7">
              <w:rPr>
                <w:sz w:val="20"/>
                <w:szCs w:val="20"/>
              </w:rPr>
              <w:t>+1% EC 55/2007 p/ dezembro  ] só deduz Pasep</w:t>
            </w:r>
          </w:p>
          <w:p w14:paraId="54636FFE" w14:textId="77777777" w:rsidR="00557DA7" w:rsidRPr="00557DA7" w:rsidRDefault="00557DA7" w:rsidP="00557DA7">
            <w:pPr>
              <w:spacing w:after="0" w:line="240" w:lineRule="auto"/>
              <w:rPr>
                <w:sz w:val="20"/>
                <w:szCs w:val="20"/>
              </w:rPr>
            </w:pPr>
            <w:r w:rsidRPr="00557DA7">
              <w:rPr>
                <w:sz w:val="20"/>
                <w:szCs w:val="20"/>
              </w:rPr>
              <w:t>+1% EC 84/2014 p/ julho          ] só deduz Pasep</w:t>
            </w:r>
          </w:p>
          <w:p w14:paraId="05CC4835" w14:textId="77777777" w:rsidR="00557DA7" w:rsidRPr="00557DA7" w:rsidRDefault="00557DA7" w:rsidP="00557DA7">
            <w:pPr>
              <w:spacing w:after="0" w:line="240" w:lineRule="auto"/>
              <w:rPr>
                <w:sz w:val="20"/>
                <w:szCs w:val="20"/>
              </w:rPr>
            </w:pPr>
            <w:r w:rsidRPr="00557DA7">
              <w:rPr>
                <w:sz w:val="20"/>
                <w:szCs w:val="20"/>
              </w:rPr>
              <w:t>+1% EC112/2021 p/ setembro (***0,25 em 2022 e 2023 -&gt; 0,5% em 2024 e 1% 2025)</w:t>
            </w:r>
          </w:p>
          <w:p w14:paraId="08FAC012" w14:textId="77777777" w:rsidR="00557DA7" w:rsidRPr="00557DA7" w:rsidRDefault="00557DA7" w:rsidP="00557DA7">
            <w:pPr>
              <w:spacing w:after="0" w:line="240" w:lineRule="auto"/>
              <w:rPr>
                <w:sz w:val="20"/>
                <w:szCs w:val="20"/>
              </w:rPr>
            </w:pPr>
            <w:r w:rsidRPr="00557DA7">
              <w:rPr>
                <w:sz w:val="20"/>
                <w:szCs w:val="20"/>
              </w:rPr>
              <w:t>Esses percentuais são valores adicionados ao Fundo</w:t>
            </w:r>
          </w:p>
          <w:p w14:paraId="47C560FC" w14:textId="77777777" w:rsidR="00557DA7" w:rsidRPr="00557DA7" w:rsidRDefault="00557DA7" w:rsidP="00557DA7">
            <w:pPr>
              <w:spacing w:after="0" w:line="240" w:lineRule="auto"/>
              <w:rPr>
                <w:sz w:val="20"/>
                <w:szCs w:val="20"/>
              </w:rPr>
            </w:pPr>
            <w:r w:rsidRPr="00557DA7">
              <w:rPr>
                <w:sz w:val="20"/>
                <w:szCs w:val="20"/>
              </w:rPr>
              <w:t xml:space="preserve">Base de Cálculo IR e IPI;     </w:t>
            </w:r>
            <w:proofErr w:type="spellStart"/>
            <w:r w:rsidRPr="00557DA7">
              <w:rPr>
                <w:sz w:val="20"/>
                <w:szCs w:val="20"/>
              </w:rPr>
              <w:t>coef</w:t>
            </w:r>
            <w:proofErr w:type="spellEnd"/>
            <w:r w:rsidRPr="00557DA7">
              <w:rPr>
                <w:sz w:val="20"/>
                <w:szCs w:val="20"/>
              </w:rPr>
              <w:t xml:space="preserve"> 0,6 (até 10.188 </w:t>
            </w:r>
            <w:proofErr w:type="spellStart"/>
            <w:r w:rsidRPr="00557DA7">
              <w:rPr>
                <w:sz w:val="20"/>
                <w:szCs w:val="20"/>
              </w:rPr>
              <w:t>ha</w:t>
            </w:r>
            <w:proofErr w:type="spellEnd"/>
            <w:r w:rsidRPr="00557DA7">
              <w:rPr>
                <w:sz w:val="20"/>
                <w:szCs w:val="20"/>
              </w:rPr>
              <w:t xml:space="preserve"> - varia p/ UF);    credita no BB</w:t>
            </w:r>
          </w:p>
          <w:p w14:paraId="731D1C7A" w14:textId="77777777" w:rsidR="00557DA7" w:rsidRPr="00557DA7" w:rsidRDefault="00557DA7" w:rsidP="00557DA7">
            <w:pPr>
              <w:spacing w:after="0" w:line="240" w:lineRule="auto"/>
              <w:rPr>
                <w:sz w:val="20"/>
                <w:szCs w:val="20"/>
              </w:rPr>
            </w:pPr>
            <w:r w:rsidRPr="00557DA7">
              <w:rPr>
                <w:sz w:val="20"/>
                <w:szCs w:val="20"/>
              </w:rPr>
              <w:t xml:space="preserve">Retenção: art.160 da CF, se constatados débitos (RFB, PGFN, </w:t>
            </w:r>
            <w:proofErr w:type="spellStart"/>
            <w:r w:rsidRPr="00557DA7">
              <w:rPr>
                <w:sz w:val="20"/>
                <w:szCs w:val="20"/>
              </w:rPr>
              <w:t>Cauc</w:t>
            </w:r>
            <w:proofErr w:type="spellEnd"/>
            <w:r w:rsidRPr="00557DA7">
              <w:rPr>
                <w:sz w:val="20"/>
                <w:szCs w:val="20"/>
              </w:rPr>
              <w:t xml:space="preserve">, Cadin, FGTS...), </w:t>
            </w:r>
          </w:p>
          <w:p w14:paraId="5B790416" w14:textId="77777777" w:rsidR="00557DA7" w:rsidRPr="00557DA7" w:rsidRDefault="00557DA7" w:rsidP="00557DA7">
            <w:pPr>
              <w:spacing w:after="0" w:line="240" w:lineRule="auto"/>
              <w:rPr>
                <w:sz w:val="20"/>
                <w:szCs w:val="20"/>
              </w:rPr>
            </w:pPr>
            <w:r w:rsidRPr="00557DA7">
              <w:rPr>
                <w:sz w:val="20"/>
                <w:szCs w:val="20"/>
              </w:rPr>
              <w:t xml:space="preserve">Bloqueio: parcelamento em atraso INSS, Pasep;  não enviar relatório de cadastramento e homologação dos gastos com saúde nos </w:t>
            </w:r>
            <w:proofErr w:type="spellStart"/>
            <w:r w:rsidRPr="00557DA7">
              <w:rPr>
                <w:sz w:val="20"/>
                <w:szCs w:val="20"/>
              </w:rPr>
              <w:t>Siops</w:t>
            </w:r>
            <w:proofErr w:type="spellEnd"/>
          </w:p>
          <w:p w14:paraId="3A95BD69" w14:textId="65B52271" w:rsidR="00557DA7" w:rsidRPr="00557DA7" w:rsidRDefault="00557DA7" w:rsidP="00557DA7">
            <w:pPr>
              <w:rPr>
                <w:sz w:val="20"/>
                <w:szCs w:val="20"/>
              </w:rPr>
            </w:pPr>
            <w:r w:rsidRPr="00557DA7">
              <w:rPr>
                <w:sz w:val="20"/>
                <w:szCs w:val="20"/>
              </w:rPr>
              <w:t>retido 20% p/ Fundeb</w:t>
            </w:r>
            <w:r>
              <w:rPr>
                <w:sz w:val="20"/>
                <w:szCs w:val="20"/>
              </w:rPr>
              <w:t xml:space="preserve"> / </w:t>
            </w:r>
            <w:r w:rsidRPr="00557DA7">
              <w:rPr>
                <w:sz w:val="20"/>
                <w:szCs w:val="20"/>
              </w:rPr>
              <w:t>15% Saúde - BB = automático</w:t>
            </w:r>
            <w:r>
              <w:rPr>
                <w:sz w:val="20"/>
                <w:szCs w:val="20"/>
              </w:rPr>
              <w:t xml:space="preserve"> / </w:t>
            </w:r>
            <w:r w:rsidRPr="00557DA7">
              <w:rPr>
                <w:sz w:val="20"/>
                <w:szCs w:val="20"/>
              </w:rPr>
              <w:t>1% Pasep</w:t>
            </w:r>
          </w:p>
        </w:tc>
      </w:tr>
      <w:tr w:rsidR="00557DA7" w:rsidRPr="00557DA7" w14:paraId="4F845656" w14:textId="1D9028BB" w:rsidTr="00557DA7">
        <w:trPr>
          <w:trHeight w:val="188"/>
        </w:trPr>
        <w:tc>
          <w:tcPr>
            <w:tcW w:w="4037" w:type="dxa"/>
            <w:noWrap/>
            <w:hideMark/>
          </w:tcPr>
          <w:p w14:paraId="5659D66F" w14:textId="77777777" w:rsidR="00557DA7" w:rsidRPr="00557DA7" w:rsidRDefault="00557DA7">
            <w:pPr>
              <w:rPr>
                <w:b/>
                <w:bCs/>
                <w:sz w:val="20"/>
                <w:szCs w:val="20"/>
              </w:rPr>
            </w:pPr>
            <w:r w:rsidRPr="00557DA7">
              <w:rPr>
                <w:b/>
                <w:bCs/>
                <w:sz w:val="20"/>
                <w:szCs w:val="20"/>
              </w:rPr>
              <w:t>ITR</w:t>
            </w:r>
          </w:p>
        </w:tc>
        <w:tc>
          <w:tcPr>
            <w:tcW w:w="6731" w:type="dxa"/>
          </w:tcPr>
          <w:p w14:paraId="032C6A40" w14:textId="4EB202D7" w:rsidR="00557DA7" w:rsidRPr="00557DA7" w:rsidRDefault="00557DA7" w:rsidP="00557DA7">
            <w:pPr>
              <w:spacing w:after="0" w:line="240" w:lineRule="auto"/>
              <w:rPr>
                <w:sz w:val="20"/>
                <w:szCs w:val="20"/>
              </w:rPr>
            </w:pPr>
            <w:r w:rsidRPr="00557DA7">
              <w:rPr>
                <w:sz w:val="20"/>
                <w:szCs w:val="20"/>
              </w:rPr>
              <w:t>art.153 CF</w:t>
            </w:r>
          </w:p>
          <w:p w14:paraId="59F4BE57" w14:textId="77777777" w:rsidR="00557DA7" w:rsidRPr="00557DA7" w:rsidRDefault="00557DA7" w:rsidP="00557DA7">
            <w:pPr>
              <w:spacing w:after="0" w:line="240" w:lineRule="auto"/>
              <w:rPr>
                <w:sz w:val="20"/>
                <w:szCs w:val="20"/>
              </w:rPr>
            </w:pPr>
            <w:r w:rsidRPr="00557DA7">
              <w:rPr>
                <w:sz w:val="20"/>
                <w:szCs w:val="20"/>
              </w:rPr>
              <w:t>Regras pela RFB na IN 1.640/2016</w:t>
            </w:r>
          </w:p>
          <w:p w14:paraId="1D36E614" w14:textId="77777777" w:rsidR="00557DA7" w:rsidRPr="00557DA7" w:rsidRDefault="00557DA7" w:rsidP="00557DA7">
            <w:pPr>
              <w:spacing w:after="0" w:line="240" w:lineRule="auto"/>
              <w:rPr>
                <w:sz w:val="20"/>
                <w:szCs w:val="20"/>
              </w:rPr>
            </w:pPr>
            <w:r w:rsidRPr="00557DA7">
              <w:rPr>
                <w:sz w:val="20"/>
                <w:szCs w:val="20"/>
              </w:rPr>
              <w:t>O VTN (Valor da Terra Nua) deve ser levantado anualmente requisito da IN 1.877/2019 e encaminhada a RFB</w:t>
            </w:r>
          </w:p>
          <w:p w14:paraId="5E2548E8" w14:textId="77777777" w:rsidR="00557DA7" w:rsidRPr="00557DA7" w:rsidRDefault="00557DA7" w:rsidP="00557DA7">
            <w:pPr>
              <w:spacing w:after="0" w:line="240" w:lineRule="auto"/>
              <w:rPr>
                <w:sz w:val="20"/>
                <w:szCs w:val="20"/>
              </w:rPr>
            </w:pPr>
          </w:p>
          <w:p w14:paraId="576ADC99" w14:textId="77777777" w:rsidR="00557DA7" w:rsidRPr="00557DA7" w:rsidRDefault="00557DA7" w:rsidP="00557DA7">
            <w:pPr>
              <w:spacing w:after="0" w:line="240" w:lineRule="auto"/>
              <w:rPr>
                <w:sz w:val="20"/>
                <w:szCs w:val="20"/>
              </w:rPr>
            </w:pPr>
            <w:r w:rsidRPr="00557DA7">
              <w:rPr>
                <w:sz w:val="20"/>
                <w:szCs w:val="20"/>
              </w:rPr>
              <w:t>Verificar em:</w:t>
            </w:r>
          </w:p>
          <w:p w14:paraId="73941569" w14:textId="77777777" w:rsidR="00557DA7" w:rsidRPr="00557DA7" w:rsidRDefault="00557DA7" w:rsidP="00557DA7">
            <w:pPr>
              <w:spacing w:after="0" w:line="240" w:lineRule="auto"/>
              <w:rPr>
                <w:sz w:val="20"/>
                <w:szCs w:val="20"/>
              </w:rPr>
            </w:pPr>
            <w:r w:rsidRPr="00557DA7">
              <w:rPr>
                <w:sz w:val="20"/>
                <w:szCs w:val="20"/>
              </w:rPr>
              <w:t>http://www.enat.receita.fazenda.gov.br/pt-br/area_nacional/areas_interesse/portal-itr-1/itr-convenios-orientacoes-gerais/orientacoes-gerais-celebracao-de-convenio-itr/orientacao-para-celebracao-de-convenio-e-cadastramento-de-servidores-municipais</w:t>
            </w:r>
          </w:p>
          <w:p w14:paraId="13064F0A" w14:textId="77777777" w:rsidR="00557DA7" w:rsidRPr="00557DA7" w:rsidRDefault="00557DA7" w:rsidP="00557DA7">
            <w:pPr>
              <w:spacing w:after="0" w:line="240" w:lineRule="auto"/>
              <w:rPr>
                <w:sz w:val="20"/>
                <w:szCs w:val="20"/>
              </w:rPr>
            </w:pPr>
          </w:p>
          <w:p w14:paraId="7412E9B4" w14:textId="77777777" w:rsidR="00557DA7" w:rsidRPr="00557DA7" w:rsidRDefault="00557DA7" w:rsidP="00557DA7">
            <w:pPr>
              <w:spacing w:after="0" w:line="240" w:lineRule="auto"/>
              <w:rPr>
                <w:sz w:val="20"/>
                <w:szCs w:val="20"/>
              </w:rPr>
            </w:pPr>
            <w:r w:rsidRPr="00557DA7">
              <w:rPr>
                <w:sz w:val="20"/>
                <w:szCs w:val="20"/>
              </w:rPr>
              <w:t xml:space="preserve">bloqueio: não enviar relatório de cadastramento e homologação dos gastos com saúde nos </w:t>
            </w:r>
            <w:proofErr w:type="spellStart"/>
            <w:r w:rsidRPr="00557DA7">
              <w:rPr>
                <w:sz w:val="20"/>
                <w:szCs w:val="20"/>
              </w:rPr>
              <w:t>Siops</w:t>
            </w:r>
            <w:proofErr w:type="spellEnd"/>
          </w:p>
          <w:p w14:paraId="149C8BA4" w14:textId="77777777" w:rsidR="00557DA7" w:rsidRPr="00557DA7" w:rsidRDefault="00557DA7" w:rsidP="00557DA7">
            <w:pPr>
              <w:spacing w:after="0" w:line="240" w:lineRule="auto"/>
              <w:rPr>
                <w:sz w:val="20"/>
                <w:szCs w:val="20"/>
              </w:rPr>
            </w:pPr>
          </w:p>
          <w:p w14:paraId="75BA639E" w14:textId="1627D486" w:rsidR="00557DA7" w:rsidRPr="00557DA7" w:rsidRDefault="00557DA7" w:rsidP="00557DA7">
            <w:pPr>
              <w:spacing w:after="0" w:line="240" w:lineRule="auto"/>
              <w:rPr>
                <w:sz w:val="20"/>
                <w:szCs w:val="20"/>
              </w:rPr>
            </w:pPr>
            <w:r w:rsidRPr="00557DA7">
              <w:rPr>
                <w:sz w:val="20"/>
                <w:szCs w:val="20"/>
              </w:rPr>
              <w:t>Deve ser fiscalizado estoque de Malha Fiscal (MF)</w:t>
            </w:r>
            <w:r>
              <w:rPr>
                <w:sz w:val="20"/>
                <w:szCs w:val="20"/>
              </w:rPr>
              <w:t xml:space="preserve"> / </w:t>
            </w:r>
            <w:r w:rsidRPr="00557DA7">
              <w:rPr>
                <w:sz w:val="20"/>
                <w:szCs w:val="20"/>
              </w:rPr>
              <w:t xml:space="preserve">distribuição: CF </w:t>
            </w:r>
            <w:proofErr w:type="spellStart"/>
            <w:r w:rsidRPr="00557DA7">
              <w:rPr>
                <w:sz w:val="20"/>
                <w:szCs w:val="20"/>
              </w:rPr>
              <w:t>art</w:t>
            </w:r>
            <w:proofErr w:type="spellEnd"/>
            <w:r w:rsidRPr="00557DA7">
              <w:rPr>
                <w:sz w:val="20"/>
                <w:szCs w:val="20"/>
              </w:rPr>
              <w:t xml:space="preserve"> 153</w:t>
            </w:r>
          </w:p>
          <w:p w14:paraId="0A8CA50E" w14:textId="77777777" w:rsidR="00557DA7" w:rsidRPr="00557DA7" w:rsidRDefault="00557DA7" w:rsidP="00557DA7">
            <w:pPr>
              <w:spacing w:after="0" w:line="240" w:lineRule="auto"/>
              <w:rPr>
                <w:sz w:val="20"/>
                <w:szCs w:val="20"/>
              </w:rPr>
            </w:pPr>
          </w:p>
          <w:p w14:paraId="50A4B8EA" w14:textId="77777777" w:rsidR="00557DA7" w:rsidRPr="00557DA7" w:rsidRDefault="00557DA7" w:rsidP="00557DA7">
            <w:pPr>
              <w:spacing w:after="0" w:line="240" w:lineRule="auto"/>
              <w:rPr>
                <w:sz w:val="20"/>
                <w:szCs w:val="20"/>
              </w:rPr>
            </w:pPr>
            <w:r w:rsidRPr="00557DA7">
              <w:rPr>
                <w:sz w:val="20"/>
                <w:szCs w:val="20"/>
              </w:rPr>
              <w:t>FUNDEB: Referente ao ICMS, IPVA, ITCD e ITR, no segundo dia útil de cada semana. Das transferências da União, no dia do respectivo repasse;</w:t>
            </w:r>
          </w:p>
          <w:p w14:paraId="3E7761A1" w14:textId="0CEA7D30" w:rsidR="00557DA7" w:rsidRPr="00557DA7" w:rsidRDefault="00557DA7" w:rsidP="00557DA7">
            <w:pPr>
              <w:rPr>
                <w:sz w:val="20"/>
                <w:szCs w:val="20"/>
              </w:rPr>
            </w:pPr>
            <w:r w:rsidRPr="00557DA7">
              <w:rPr>
                <w:sz w:val="20"/>
                <w:szCs w:val="20"/>
              </w:rPr>
              <w:t>Consultar estimativa:</w:t>
            </w:r>
            <w:r>
              <w:rPr>
                <w:sz w:val="20"/>
                <w:szCs w:val="20"/>
              </w:rPr>
              <w:t xml:space="preserve"> </w:t>
            </w:r>
            <w:hyperlink r:id="rId4" w:history="1">
              <w:r w:rsidRPr="00716B48">
                <w:rPr>
                  <w:rStyle w:val="Hyperlink"/>
                  <w:sz w:val="20"/>
                  <w:szCs w:val="20"/>
                </w:rPr>
                <w:t>https://www.cnm.org.br/comunicacao/noticias/fundeb-2022-cnm-divulga-estimativa-por-municipio</w:t>
              </w:r>
            </w:hyperlink>
          </w:p>
        </w:tc>
      </w:tr>
      <w:tr w:rsidR="00557DA7" w:rsidRPr="00557DA7" w14:paraId="452B03BB" w14:textId="195541D8" w:rsidTr="007E13A4">
        <w:trPr>
          <w:trHeight w:val="188"/>
        </w:trPr>
        <w:tc>
          <w:tcPr>
            <w:tcW w:w="4037" w:type="dxa"/>
            <w:shd w:val="clear" w:color="auto" w:fill="00B0F0"/>
            <w:noWrap/>
            <w:hideMark/>
          </w:tcPr>
          <w:p w14:paraId="71E6FAA8" w14:textId="77777777" w:rsidR="00557DA7" w:rsidRPr="00557DA7" w:rsidRDefault="00557DA7">
            <w:pPr>
              <w:rPr>
                <w:b/>
                <w:bCs/>
                <w:sz w:val="20"/>
                <w:szCs w:val="20"/>
              </w:rPr>
            </w:pPr>
            <w:r w:rsidRPr="00557DA7">
              <w:rPr>
                <w:b/>
                <w:bCs/>
                <w:sz w:val="20"/>
                <w:szCs w:val="20"/>
              </w:rPr>
              <w:lastRenderedPageBreak/>
              <w:t>ICMS</w:t>
            </w:r>
          </w:p>
        </w:tc>
        <w:tc>
          <w:tcPr>
            <w:tcW w:w="6731" w:type="dxa"/>
          </w:tcPr>
          <w:p w14:paraId="7177B3C6" w14:textId="7234CE83" w:rsidR="00557DA7" w:rsidRPr="00557DA7" w:rsidRDefault="00557DA7" w:rsidP="00557DA7">
            <w:pPr>
              <w:spacing w:after="0" w:line="240" w:lineRule="auto"/>
              <w:rPr>
                <w:sz w:val="20"/>
                <w:szCs w:val="20"/>
              </w:rPr>
            </w:pPr>
            <w:r w:rsidRPr="00557DA7">
              <w:rPr>
                <w:sz w:val="20"/>
                <w:szCs w:val="20"/>
              </w:rPr>
              <w:t>TRANSFERÊNCIA ESTADUAL</w:t>
            </w:r>
            <w:r w:rsidR="007E13A4">
              <w:rPr>
                <w:sz w:val="20"/>
                <w:szCs w:val="20"/>
              </w:rPr>
              <w:t xml:space="preserve"> - </w:t>
            </w:r>
            <w:r w:rsidRPr="00557DA7">
              <w:rPr>
                <w:sz w:val="20"/>
                <w:szCs w:val="20"/>
              </w:rPr>
              <w:t>ICMS: maior tributo brasileiro</w:t>
            </w:r>
          </w:p>
          <w:p w14:paraId="1838AABE" w14:textId="77777777" w:rsidR="00557DA7" w:rsidRPr="00557DA7" w:rsidRDefault="00557DA7" w:rsidP="00557DA7">
            <w:pPr>
              <w:spacing w:after="0" w:line="240" w:lineRule="auto"/>
              <w:rPr>
                <w:sz w:val="20"/>
                <w:szCs w:val="20"/>
              </w:rPr>
            </w:pPr>
            <w:r w:rsidRPr="00557DA7">
              <w:rPr>
                <w:sz w:val="20"/>
                <w:szCs w:val="20"/>
              </w:rPr>
              <w:t xml:space="preserve">Vem 25% (CF </w:t>
            </w:r>
            <w:proofErr w:type="spellStart"/>
            <w:r w:rsidRPr="00557DA7">
              <w:rPr>
                <w:sz w:val="20"/>
                <w:szCs w:val="20"/>
              </w:rPr>
              <w:t>art</w:t>
            </w:r>
            <w:proofErr w:type="spellEnd"/>
            <w:r w:rsidRPr="00557DA7">
              <w:rPr>
                <w:sz w:val="20"/>
                <w:szCs w:val="20"/>
              </w:rPr>
              <w:t xml:space="preserve"> 158)</w:t>
            </w:r>
          </w:p>
          <w:p w14:paraId="50FAFF95" w14:textId="77777777" w:rsidR="00557DA7" w:rsidRPr="00557DA7" w:rsidRDefault="00557DA7" w:rsidP="00557DA7">
            <w:pPr>
              <w:spacing w:after="0" w:line="240" w:lineRule="auto"/>
              <w:rPr>
                <w:sz w:val="20"/>
                <w:szCs w:val="20"/>
              </w:rPr>
            </w:pPr>
            <w:r w:rsidRPr="00557DA7">
              <w:rPr>
                <w:sz w:val="20"/>
                <w:szCs w:val="20"/>
              </w:rPr>
              <w:t xml:space="preserve">circulação de mercadorias, </w:t>
            </w:r>
            <w:proofErr w:type="spellStart"/>
            <w:r w:rsidRPr="00557DA7">
              <w:rPr>
                <w:sz w:val="20"/>
                <w:szCs w:val="20"/>
              </w:rPr>
              <w:t>serv</w:t>
            </w:r>
            <w:proofErr w:type="spellEnd"/>
            <w:r w:rsidRPr="00557DA7">
              <w:rPr>
                <w:sz w:val="20"/>
                <w:szCs w:val="20"/>
              </w:rPr>
              <w:t xml:space="preserve"> </w:t>
            </w:r>
            <w:proofErr w:type="spellStart"/>
            <w:r w:rsidRPr="00557DA7">
              <w:rPr>
                <w:sz w:val="20"/>
                <w:szCs w:val="20"/>
              </w:rPr>
              <w:t>transp</w:t>
            </w:r>
            <w:proofErr w:type="spellEnd"/>
            <w:r w:rsidRPr="00557DA7">
              <w:rPr>
                <w:sz w:val="20"/>
                <w:szCs w:val="20"/>
              </w:rPr>
              <w:t xml:space="preserve"> interestadual e intermunicipal e de comunicação</w:t>
            </w:r>
          </w:p>
          <w:p w14:paraId="482BD8AF" w14:textId="77777777" w:rsidR="00557DA7" w:rsidRPr="00557DA7" w:rsidRDefault="00557DA7" w:rsidP="00557DA7">
            <w:pPr>
              <w:spacing w:after="0" w:line="240" w:lineRule="auto"/>
              <w:rPr>
                <w:sz w:val="20"/>
                <w:szCs w:val="20"/>
              </w:rPr>
            </w:pPr>
            <w:r w:rsidRPr="00557DA7">
              <w:rPr>
                <w:sz w:val="20"/>
                <w:szCs w:val="20"/>
              </w:rPr>
              <w:t>Distribuição pela EC 108/2020</w:t>
            </w:r>
          </w:p>
          <w:p w14:paraId="55249E72" w14:textId="77777777" w:rsidR="00557DA7" w:rsidRPr="007E13A4" w:rsidRDefault="00557DA7" w:rsidP="00557DA7">
            <w:pPr>
              <w:spacing w:after="0" w:line="240" w:lineRule="auto"/>
              <w:rPr>
                <w:sz w:val="16"/>
                <w:szCs w:val="16"/>
              </w:rPr>
            </w:pPr>
            <w:r w:rsidRPr="007E13A4">
              <w:rPr>
                <w:sz w:val="16"/>
                <w:szCs w:val="16"/>
              </w:rPr>
              <w:t>65% mínimo de acordo c média VA</w:t>
            </w:r>
          </w:p>
          <w:p w14:paraId="78DF5254" w14:textId="77777777" w:rsidR="00557DA7" w:rsidRPr="007E13A4" w:rsidRDefault="00557DA7" w:rsidP="00557DA7">
            <w:pPr>
              <w:spacing w:after="0" w:line="240" w:lineRule="auto"/>
              <w:rPr>
                <w:sz w:val="16"/>
                <w:szCs w:val="16"/>
              </w:rPr>
            </w:pPr>
            <w:r w:rsidRPr="007E13A4">
              <w:rPr>
                <w:sz w:val="16"/>
                <w:szCs w:val="16"/>
              </w:rPr>
              <w:t>Até 35% Lei Estadual (</w:t>
            </w:r>
            <w:proofErr w:type="spellStart"/>
            <w:r w:rsidRPr="007E13A4">
              <w:rPr>
                <w:sz w:val="16"/>
                <w:szCs w:val="16"/>
              </w:rPr>
              <w:t>mín</w:t>
            </w:r>
            <w:proofErr w:type="spellEnd"/>
            <w:r w:rsidRPr="007E13A4">
              <w:rPr>
                <w:sz w:val="16"/>
                <w:szCs w:val="16"/>
              </w:rPr>
              <w:t xml:space="preserve"> 10% com base em indicadores de melhoria)</w:t>
            </w:r>
          </w:p>
          <w:p w14:paraId="2A665555" w14:textId="77777777" w:rsidR="00557DA7" w:rsidRPr="007E13A4" w:rsidRDefault="00557DA7" w:rsidP="00557DA7">
            <w:pPr>
              <w:spacing w:after="0" w:line="240" w:lineRule="auto"/>
              <w:rPr>
                <w:sz w:val="16"/>
                <w:szCs w:val="16"/>
              </w:rPr>
            </w:pPr>
            <w:r w:rsidRPr="007E13A4">
              <w:rPr>
                <w:sz w:val="16"/>
                <w:szCs w:val="16"/>
              </w:rPr>
              <w:t>No RS:</w:t>
            </w:r>
          </w:p>
          <w:p w14:paraId="32E45840" w14:textId="77777777" w:rsidR="00557DA7" w:rsidRPr="007E13A4" w:rsidRDefault="00557DA7" w:rsidP="00557DA7">
            <w:pPr>
              <w:spacing w:after="0" w:line="240" w:lineRule="auto"/>
              <w:rPr>
                <w:sz w:val="16"/>
                <w:szCs w:val="16"/>
              </w:rPr>
            </w:pPr>
            <w:r w:rsidRPr="007E13A4">
              <w:rPr>
                <w:sz w:val="16"/>
                <w:szCs w:val="16"/>
              </w:rPr>
              <w:t>75% VA</w:t>
            </w:r>
          </w:p>
          <w:p w14:paraId="7D1A55D4" w14:textId="77777777" w:rsidR="00557DA7" w:rsidRPr="007E13A4" w:rsidRDefault="00557DA7" w:rsidP="00557DA7">
            <w:pPr>
              <w:spacing w:after="0" w:line="240" w:lineRule="auto"/>
              <w:rPr>
                <w:sz w:val="16"/>
                <w:szCs w:val="16"/>
              </w:rPr>
            </w:pPr>
            <w:r w:rsidRPr="007E13A4">
              <w:rPr>
                <w:sz w:val="16"/>
                <w:szCs w:val="16"/>
              </w:rPr>
              <w:t xml:space="preserve">7% </w:t>
            </w:r>
            <w:proofErr w:type="spellStart"/>
            <w:r w:rsidRPr="007E13A4">
              <w:rPr>
                <w:sz w:val="16"/>
                <w:szCs w:val="16"/>
              </w:rPr>
              <w:t>Àrea</w:t>
            </w:r>
            <w:proofErr w:type="spellEnd"/>
          </w:p>
          <w:p w14:paraId="765BAA43" w14:textId="77777777" w:rsidR="00557DA7" w:rsidRPr="007E13A4" w:rsidRDefault="00557DA7" w:rsidP="00557DA7">
            <w:pPr>
              <w:spacing w:after="0" w:line="240" w:lineRule="auto"/>
              <w:rPr>
                <w:sz w:val="16"/>
                <w:szCs w:val="16"/>
              </w:rPr>
            </w:pPr>
            <w:r w:rsidRPr="007E13A4">
              <w:rPr>
                <w:sz w:val="16"/>
                <w:szCs w:val="16"/>
              </w:rPr>
              <w:t>7% População</w:t>
            </w:r>
          </w:p>
          <w:p w14:paraId="359FBD1C" w14:textId="77777777" w:rsidR="00557DA7" w:rsidRPr="007E13A4" w:rsidRDefault="00557DA7" w:rsidP="00557DA7">
            <w:pPr>
              <w:spacing w:after="0" w:line="240" w:lineRule="auto"/>
              <w:rPr>
                <w:sz w:val="16"/>
                <w:szCs w:val="16"/>
              </w:rPr>
            </w:pPr>
            <w:r w:rsidRPr="007E13A4">
              <w:rPr>
                <w:sz w:val="16"/>
                <w:szCs w:val="16"/>
              </w:rPr>
              <w:t>5% Número de propriedades Rurais</w:t>
            </w:r>
          </w:p>
          <w:p w14:paraId="4C269CE2" w14:textId="77777777" w:rsidR="00557DA7" w:rsidRPr="007E13A4" w:rsidRDefault="00557DA7" w:rsidP="00557DA7">
            <w:pPr>
              <w:spacing w:after="0" w:line="240" w:lineRule="auto"/>
              <w:rPr>
                <w:sz w:val="16"/>
                <w:szCs w:val="16"/>
              </w:rPr>
            </w:pPr>
            <w:r w:rsidRPr="007E13A4">
              <w:rPr>
                <w:sz w:val="16"/>
                <w:szCs w:val="16"/>
              </w:rPr>
              <w:t>3,5% Produtividade Primária</w:t>
            </w:r>
          </w:p>
          <w:p w14:paraId="005D6F69" w14:textId="77777777" w:rsidR="00557DA7" w:rsidRPr="007E13A4" w:rsidRDefault="00557DA7" w:rsidP="00557DA7">
            <w:pPr>
              <w:spacing w:after="0" w:line="240" w:lineRule="auto"/>
              <w:rPr>
                <w:sz w:val="16"/>
                <w:szCs w:val="16"/>
              </w:rPr>
            </w:pPr>
            <w:r w:rsidRPr="007E13A4">
              <w:rPr>
                <w:sz w:val="16"/>
                <w:szCs w:val="16"/>
              </w:rPr>
              <w:t>2% Relação Inversa ao VA fiscal per capta</w:t>
            </w:r>
          </w:p>
          <w:p w14:paraId="1B87B270" w14:textId="77777777" w:rsidR="00557DA7" w:rsidRPr="007E13A4" w:rsidRDefault="00557DA7" w:rsidP="00557DA7">
            <w:pPr>
              <w:spacing w:after="0" w:line="240" w:lineRule="auto"/>
              <w:rPr>
                <w:sz w:val="16"/>
                <w:szCs w:val="16"/>
              </w:rPr>
            </w:pPr>
            <w:r w:rsidRPr="007E13A4">
              <w:rPr>
                <w:sz w:val="16"/>
                <w:szCs w:val="16"/>
              </w:rPr>
              <w:t>0,5% PIT</w:t>
            </w:r>
          </w:p>
          <w:p w14:paraId="3FD53B5F" w14:textId="77777777" w:rsidR="00557DA7" w:rsidRPr="00557DA7" w:rsidRDefault="00557DA7" w:rsidP="00557DA7">
            <w:pPr>
              <w:spacing w:after="0" w:line="240" w:lineRule="auto"/>
              <w:rPr>
                <w:sz w:val="20"/>
                <w:szCs w:val="20"/>
              </w:rPr>
            </w:pPr>
          </w:p>
          <w:p w14:paraId="725374B7" w14:textId="77777777" w:rsidR="00557DA7" w:rsidRPr="00557DA7" w:rsidRDefault="00557DA7" w:rsidP="00557DA7">
            <w:pPr>
              <w:spacing w:after="0" w:line="240" w:lineRule="auto"/>
              <w:rPr>
                <w:sz w:val="20"/>
                <w:szCs w:val="20"/>
              </w:rPr>
            </w:pPr>
            <w:r w:rsidRPr="00557DA7">
              <w:rPr>
                <w:sz w:val="20"/>
                <w:szCs w:val="20"/>
              </w:rPr>
              <w:t>Aplicações: as obrigatórias p saúde e educação</w:t>
            </w:r>
          </w:p>
          <w:p w14:paraId="06B17C15" w14:textId="77777777" w:rsidR="00557DA7" w:rsidRPr="00557DA7" w:rsidRDefault="00557DA7" w:rsidP="00557DA7">
            <w:pPr>
              <w:spacing w:after="0" w:line="240" w:lineRule="auto"/>
              <w:rPr>
                <w:sz w:val="20"/>
                <w:szCs w:val="20"/>
              </w:rPr>
            </w:pPr>
            <w:r w:rsidRPr="00557DA7">
              <w:rPr>
                <w:sz w:val="20"/>
                <w:szCs w:val="20"/>
              </w:rPr>
              <w:t>Entra: Toda 3ª feira</w:t>
            </w:r>
          </w:p>
          <w:p w14:paraId="61F1DECF" w14:textId="77777777" w:rsidR="00557DA7" w:rsidRPr="00557DA7" w:rsidRDefault="00557DA7" w:rsidP="00557DA7">
            <w:pPr>
              <w:spacing w:after="0" w:line="240" w:lineRule="auto"/>
              <w:rPr>
                <w:sz w:val="20"/>
                <w:szCs w:val="20"/>
              </w:rPr>
            </w:pPr>
          </w:p>
          <w:p w14:paraId="16FD9959" w14:textId="77777777" w:rsidR="00557DA7" w:rsidRPr="00557DA7" w:rsidRDefault="00557DA7" w:rsidP="00557DA7">
            <w:pPr>
              <w:spacing w:after="0" w:line="240" w:lineRule="auto"/>
              <w:rPr>
                <w:sz w:val="20"/>
                <w:szCs w:val="20"/>
              </w:rPr>
            </w:pPr>
            <w:r w:rsidRPr="00557DA7">
              <w:rPr>
                <w:sz w:val="20"/>
                <w:szCs w:val="20"/>
              </w:rPr>
              <w:t>É preciso:</w:t>
            </w:r>
          </w:p>
          <w:p w14:paraId="19F09F43" w14:textId="77777777" w:rsidR="00557DA7" w:rsidRPr="007E13A4" w:rsidRDefault="00557DA7" w:rsidP="00557DA7">
            <w:pPr>
              <w:spacing w:after="0" w:line="240" w:lineRule="auto"/>
              <w:rPr>
                <w:sz w:val="18"/>
                <w:szCs w:val="18"/>
              </w:rPr>
            </w:pPr>
            <w:r w:rsidRPr="007E13A4">
              <w:rPr>
                <w:sz w:val="18"/>
                <w:szCs w:val="18"/>
              </w:rPr>
              <w:t>* acompanhar declarações de empresas que formam o VAF</w:t>
            </w:r>
          </w:p>
          <w:p w14:paraId="3F1A7C18" w14:textId="77777777" w:rsidR="00557DA7" w:rsidRPr="007E13A4" w:rsidRDefault="00557DA7" w:rsidP="00557DA7">
            <w:pPr>
              <w:spacing w:after="0" w:line="240" w:lineRule="auto"/>
              <w:rPr>
                <w:sz w:val="18"/>
                <w:szCs w:val="18"/>
              </w:rPr>
            </w:pPr>
            <w:r w:rsidRPr="007E13A4">
              <w:rPr>
                <w:sz w:val="18"/>
                <w:szCs w:val="18"/>
              </w:rPr>
              <w:t>* promover ações de monitoramento das empresas de produção primária</w:t>
            </w:r>
          </w:p>
          <w:p w14:paraId="76178BBE" w14:textId="77777777" w:rsidR="00557DA7" w:rsidRPr="007E13A4" w:rsidRDefault="00557DA7" w:rsidP="00557DA7">
            <w:pPr>
              <w:spacing w:after="0" w:line="240" w:lineRule="auto"/>
              <w:rPr>
                <w:sz w:val="18"/>
                <w:szCs w:val="18"/>
              </w:rPr>
            </w:pPr>
            <w:r w:rsidRPr="007E13A4">
              <w:rPr>
                <w:sz w:val="18"/>
                <w:szCs w:val="18"/>
              </w:rPr>
              <w:t>* avaliar as chamadas guias mensais</w:t>
            </w:r>
          </w:p>
          <w:p w14:paraId="0058EEDD" w14:textId="77777777" w:rsidR="00557DA7" w:rsidRPr="007E13A4" w:rsidRDefault="00557DA7" w:rsidP="00557DA7">
            <w:pPr>
              <w:spacing w:after="0" w:line="240" w:lineRule="auto"/>
              <w:rPr>
                <w:sz w:val="18"/>
                <w:szCs w:val="18"/>
              </w:rPr>
            </w:pPr>
            <w:r w:rsidRPr="007E13A4">
              <w:rPr>
                <w:sz w:val="18"/>
                <w:szCs w:val="18"/>
              </w:rPr>
              <w:t>* combater a OMISSÃO de entrega</w:t>
            </w:r>
          </w:p>
          <w:p w14:paraId="6ED04B0E" w14:textId="77777777" w:rsidR="00557DA7" w:rsidRPr="007E13A4" w:rsidRDefault="00557DA7" w:rsidP="00557DA7">
            <w:pPr>
              <w:spacing w:after="0" w:line="240" w:lineRule="auto"/>
              <w:rPr>
                <w:sz w:val="18"/>
                <w:szCs w:val="18"/>
              </w:rPr>
            </w:pPr>
            <w:r w:rsidRPr="007E13A4">
              <w:rPr>
                <w:sz w:val="18"/>
                <w:szCs w:val="18"/>
              </w:rPr>
              <w:t xml:space="preserve">* fazer crítica nas declarações IPM que resultem perda do VA, especial atenção aos </w:t>
            </w:r>
            <w:proofErr w:type="spellStart"/>
            <w:r w:rsidRPr="007E13A4">
              <w:rPr>
                <w:sz w:val="18"/>
                <w:szCs w:val="18"/>
              </w:rPr>
              <w:t>CFOPs</w:t>
            </w:r>
            <w:proofErr w:type="spellEnd"/>
            <w:r w:rsidRPr="007E13A4">
              <w:rPr>
                <w:sz w:val="18"/>
                <w:szCs w:val="18"/>
              </w:rPr>
              <w:t>, para evitar ICMS da substituição, IPI por dentro, remessas em consignação e, serviços de ISS, compondo colunas de base de cálculo, isentas ou outras no preenchimento da declaração de apuração do VA</w:t>
            </w:r>
          </w:p>
          <w:p w14:paraId="47DC4FD3" w14:textId="77777777" w:rsidR="00557DA7" w:rsidRPr="007E13A4" w:rsidRDefault="00557DA7" w:rsidP="00557DA7">
            <w:pPr>
              <w:spacing w:after="0" w:line="240" w:lineRule="auto"/>
              <w:rPr>
                <w:sz w:val="18"/>
                <w:szCs w:val="18"/>
              </w:rPr>
            </w:pPr>
            <w:r w:rsidRPr="007E13A4">
              <w:rPr>
                <w:sz w:val="18"/>
                <w:szCs w:val="18"/>
              </w:rPr>
              <w:t>* investigar as declarações de IPM com VA negativo, compatibilizar programas de incentivo aos contribuintes e consumidores e acompanhamento das declarações do Simples Nacional</w:t>
            </w:r>
          </w:p>
          <w:p w14:paraId="69EF1D8D" w14:textId="77777777" w:rsidR="00557DA7" w:rsidRPr="007E13A4" w:rsidRDefault="00557DA7" w:rsidP="00557DA7">
            <w:pPr>
              <w:spacing w:after="0" w:line="240" w:lineRule="auto"/>
              <w:rPr>
                <w:sz w:val="18"/>
                <w:szCs w:val="18"/>
              </w:rPr>
            </w:pPr>
            <w:r w:rsidRPr="007E13A4">
              <w:rPr>
                <w:sz w:val="18"/>
                <w:szCs w:val="18"/>
              </w:rPr>
              <w:t xml:space="preserve">Legislação Federal IPM: Constituição Federal - Art. 158, IV; LC 63/90 - dos critérios de transferência do ICMS </w:t>
            </w:r>
            <w:proofErr w:type="gramStart"/>
            <w:r w:rsidRPr="007E13A4">
              <w:rPr>
                <w:sz w:val="18"/>
                <w:szCs w:val="18"/>
              </w:rPr>
              <w:t>ao municípios</w:t>
            </w:r>
            <w:proofErr w:type="gramEnd"/>
            <w:r w:rsidRPr="007E13A4">
              <w:rPr>
                <w:sz w:val="18"/>
                <w:szCs w:val="18"/>
              </w:rPr>
              <w:t>; LC 123/06 – Simples Nacional.</w:t>
            </w:r>
          </w:p>
          <w:p w14:paraId="154DAA81" w14:textId="77777777" w:rsidR="00557DA7" w:rsidRPr="007E13A4" w:rsidRDefault="00557DA7" w:rsidP="00557DA7">
            <w:pPr>
              <w:spacing w:after="0" w:line="240" w:lineRule="auto"/>
              <w:rPr>
                <w:sz w:val="18"/>
                <w:szCs w:val="18"/>
              </w:rPr>
            </w:pPr>
            <w:r w:rsidRPr="007E13A4">
              <w:rPr>
                <w:sz w:val="18"/>
                <w:szCs w:val="18"/>
              </w:rPr>
              <w:t>Legislação Estadual IPM: Lei 11.038/97, que dispõe sobre a parcela do produto do ICMS pertencente aos municípios; Lei 15.766/2021, produzindo efeitos e revogando a Lei 11.038/97 a parir de 01/01/2024; Instrução Normativa DRP 45/98 – Capítulo XIV.</w:t>
            </w:r>
          </w:p>
          <w:p w14:paraId="6EA2D6C0" w14:textId="48E37B3D" w:rsidR="007E13A4" w:rsidRDefault="00557DA7" w:rsidP="00557DA7">
            <w:pPr>
              <w:rPr>
                <w:sz w:val="18"/>
                <w:szCs w:val="18"/>
              </w:rPr>
            </w:pPr>
            <w:r w:rsidRPr="007E13A4">
              <w:rPr>
                <w:sz w:val="18"/>
                <w:szCs w:val="18"/>
              </w:rPr>
              <w:t xml:space="preserve">Roteiro para impugnação eletrônica IPM: </w:t>
            </w:r>
            <w:hyperlink r:id="rId5" w:history="1">
              <w:r w:rsidR="007E13A4" w:rsidRPr="00716B48">
                <w:rPr>
                  <w:rStyle w:val="Hyperlink"/>
                  <w:sz w:val="18"/>
                  <w:szCs w:val="18"/>
                </w:rPr>
                <w:t>https://atendimento.receita.rs.gov.br/roteiro-impugnacao-eletronica-ipm</w:t>
              </w:r>
            </w:hyperlink>
          </w:p>
          <w:p w14:paraId="1D3B3F59" w14:textId="047649AA" w:rsidR="00557DA7" w:rsidRDefault="00557DA7" w:rsidP="00557DA7">
            <w:pPr>
              <w:rPr>
                <w:sz w:val="18"/>
                <w:szCs w:val="18"/>
              </w:rPr>
            </w:pPr>
            <w:r w:rsidRPr="007E13A4">
              <w:rPr>
                <w:sz w:val="18"/>
                <w:szCs w:val="18"/>
              </w:rPr>
              <w:t xml:space="preserve">Manual IPM: </w:t>
            </w:r>
            <w:hyperlink r:id="rId6" w:history="1">
              <w:r w:rsidR="007E13A4" w:rsidRPr="00716B48">
                <w:rPr>
                  <w:rStyle w:val="Hyperlink"/>
                  <w:sz w:val="18"/>
                  <w:szCs w:val="18"/>
                </w:rPr>
                <w:t>https://atendimento.receita.rs.gov.br/manual-aim</w:t>
              </w:r>
            </w:hyperlink>
            <w:r w:rsidRPr="007E13A4">
              <w:rPr>
                <w:sz w:val="18"/>
                <w:szCs w:val="18"/>
              </w:rPr>
              <w:t xml:space="preserve"> </w:t>
            </w:r>
          </w:p>
          <w:p w14:paraId="070F240F" w14:textId="77777777" w:rsidR="00557DA7" w:rsidRPr="00557DA7" w:rsidRDefault="00557DA7" w:rsidP="00557DA7">
            <w:pPr>
              <w:spacing w:after="0" w:line="240" w:lineRule="auto"/>
              <w:rPr>
                <w:sz w:val="20"/>
                <w:szCs w:val="20"/>
              </w:rPr>
            </w:pPr>
          </w:p>
          <w:p w14:paraId="6AE70AD2" w14:textId="77777777" w:rsidR="00557DA7" w:rsidRPr="00557DA7" w:rsidRDefault="00557DA7" w:rsidP="00557DA7">
            <w:pPr>
              <w:spacing w:after="0" w:line="240" w:lineRule="auto"/>
              <w:rPr>
                <w:sz w:val="20"/>
                <w:szCs w:val="20"/>
              </w:rPr>
            </w:pPr>
            <w:r w:rsidRPr="00557DA7">
              <w:rPr>
                <w:sz w:val="20"/>
                <w:szCs w:val="20"/>
              </w:rPr>
              <w:t>=====================</w:t>
            </w:r>
            <w:r w:rsidRPr="007E13A4">
              <w:rPr>
                <w:b/>
                <w:bCs/>
                <w:sz w:val="20"/>
                <w:szCs w:val="20"/>
              </w:rPr>
              <w:t>em 2024 mudará:</w:t>
            </w:r>
          </w:p>
          <w:p w14:paraId="3C96FD0C" w14:textId="77777777" w:rsidR="00557DA7" w:rsidRPr="00557DA7" w:rsidRDefault="00557DA7" w:rsidP="00557DA7">
            <w:pPr>
              <w:spacing w:after="0" w:line="240" w:lineRule="auto"/>
              <w:rPr>
                <w:sz w:val="20"/>
                <w:szCs w:val="20"/>
              </w:rPr>
            </w:pPr>
            <w:r w:rsidRPr="00557DA7">
              <w:rPr>
                <w:sz w:val="20"/>
                <w:szCs w:val="20"/>
              </w:rPr>
              <w:t>No RS:</w:t>
            </w:r>
          </w:p>
          <w:p w14:paraId="0776786D" w14:textId="77777777" w:rsidR="00557DA7" w:rsidRPr="00557DA7" w:rsidRDefault="00557DA7" w:rsidP="00557DA7">
            <w:pPr>
              <w:spacing w:after="0" w:line="240" w:lineRule="auto"/>
              <w:rPr>
                <w:sz w:val="20"/>
                <w:szCs w:val="20"/>
              </w:rPr>
            </w:pPr>
            <w:r w:rsidRPr="00557DA7">
              <w:rPr>
                <w:sz w:val="20"/>
                <w:szCs w:val="20"/>
              </w:rPr>
              <w:t>65% VA (75% para 65%)</w:t>
            </w:r>
          </w:p>
          <w:p w14:paraId="66F69083" w14:textId="26EC4D64" w:rsidR="00557DA7" w:rsidRPr="00557DA7" w:rsidRDefault="00557DA7" w:rsidP="00557DA7">
            <w:pPr>
              <w:spacing w:after="0" w:line="240" w:lineRule="auto"/>
              <w:rPr>
                <w:sz w:val="20"/>
                <w:szCs w:val="20"/>
              </w:rPr>
            </w:pPr>
            <w:r w:rsidRPr="00557DA7">
              <w:rPr>
                <w:sz w:val="20"/>
                <w:szCs w:val="20"/>
              </w:rPr>
              <w:t xml:space="preserve">7% </w:t>
            </w:r>
            <w:r w:rsidR="007E13A4">
              <w:rPr>
                <w:sz w:val="20"/>
                <w:szCs w:val="20"/>
              </w:rPr>
              <w:t>Á</w:t>
            </w:r>
            <w:r w:rsidRPr="00557DA7">
              <w:rPr>
                <w:sz w:val="20"/>
                <w:szCs w:val="20"/>
              </w:rPr>
              <w:t>rea</w:t>
            </w:r>
          </w:p>
          <w:p w14:paraId="1C12E428" w14:textId="77777777" w:rsidR="00557DA7" w:rsidRPr="00557DA7" w:rsidRDefault="00557DA7" w:rsidP="00557DA7">
            <w:pPr>
              <w:spacing w:after="0" w:line="240" w:lineRule="auto"/>
              <w:rPr>
                <w:sz w:val="20"/>
                <w:szCs w:val="20"/>
              </w:rPr>
            </w:pPr>
            <w:r w:rsidRPr="00557DA7">
              <w:rPr>
                <w:sz w:val="20"/>
                <w:szCs w:val="20"/>
              </w:rPr>
              <w:t>7% População</w:t>
            </w:r>
          </w:p>
          <w:p w14:paraId="1BC7A1F5" w14:textId="77777777" w:rsidR="00557DA7" w:rsidRPr="00557DA7" w:rsidRDefault="00557DA7" w:rsidP="00557DA7">
            <w:pPr>
              <w:spacing w:after="0" w:line="240" w:lineRule="auto"/>
              <w:rPr>
                <w:sz w:val="20"/>
                <w:szCs w:val="20"/>
              </w:rPr>
            </w:pPr>
            <w:r w:rsidRPr="00557DA7">
              <w:rPr>
                <w:sz w:val="20"/>
                <w:szCs w:val="20"/>
              </w:rPr>
              <w:t>4,5% Número de propriedades Rurais (5% para 4,5%)</w:t>
            </w:r>
          </w:p>
          <w:p w14:paraId="549CFC29" w14:textId="77777777" w:rsidR="00557DA7" w:rsidRPr="00557DA7" w:rsidRDefault="00557DA7" w:rsidP="00557DA7">
            <w:pPr>
              <w:spacing w:after="0" w:line="240" w:lineRule="auto"/>
              <w:rPr>
                <w:sz w:val="20"/>
                <w:szCs w:val="20"/>
              </w:rPr>
            </w:pPr>
            <w:r w:rsidRPr="00557DA7">
              <w:rPr>
                <w:sz w:val="20"/>
                <w:szCs w:val="20"/>
              </w:rPr>
              <w:t>3,5% Produtividade Primária</w:t>
            </w:r>
          </w:p>
          <w:p w14:paraId="258287AA" w14:textId="77777777" w:rsidR="00557DA7" w:rsidRPr="00557DA7" w:rsidRDefault="00557DA7" w:rsidP="00557DA7">
            <w:pPr>
              <w:spacing w:after="0" w:line="240" w:lineRule="auto"/>
              <w:rPr>
                <w:sz w:val="20"/>
                <w:szCs w:val="20"/>
              </w:rPr>
            </w:pPr>
            <w:r w:rsidRPr="00557DA7">
              <w:rPr>
                <w:sz w:val="20"/>
                <w:szCs w:val="20"/>
              </w:rPr>
              <w:t>2% Relação Inversa ao VA fiscal per capta</w:t>
            </w:r>
          </w:p>
          <w:p w14:paraId="1B9B4546" w14:textId="77777777" w:rsidR="00557DA7" w:rsidRPr="00557DA7" w:rsidRDefault="00557DA7" w:rsidP="00557DA7">
            <w:pPr>
              <w:spacing w:after="0" w:line="240" w:lineRule="auto"/>
              <w:rPr>
                <w:sz w:val="20"/>
                <w:szCs w:val="20"/>
              </w:rPr>
            </w:pPr>
            <w:r w:rsidRPr="00557DA7">
              <w:rPr>
                <w:sz w:val="20"/>
                <w:szCs w:val="20"/>
              </w:rPr>
              <w:t>1,0% PIT (0,5 para 1%)</w:t>
            </w:r>
          </w:p>
          <w:p w14:paraId="76CBB516" w14:textId="2EBD50F8" w:rsidR="00557DA7" w:rsidRPr="00557DA7" w:rsidRDefault="00557DA7" w:rsidP="00557DA7">
            <w:pPr>
              <w:rPr>
                <w:sz w:val="20"/>
                <w:szCs w:val="20"/>
              </w:rPr>
            </w:pPr>
            <w:r w:rsidRPr="00557DA7">
              <w:rPr>
                <w:sz w:val="20"/>
                <w:szCs w:val="20"/>
              </w:rPr>
              <w:t>17% INDICE DE EDUCAÇÃO</w:t>
            </w:r>
          </w:p>
        </w:tc>
      </w:tr>
      <w:tr w:rsidR="00557DA7" w:rsidRPr="00557DA7" w14:paraId="4F10974A" w14:textId="4151FF25" w:rsidTr="00557DA7">
        <w:trPr>
          <w:trHeight w:val="188"/>
        </w:trPr>
        <w:tc>
          <w:tcPr>
            <w:tcW w:w="4037" w:type="dxa"/>
            <w:noWrap/>
            <w:hideMark/>
          </w:tcPr>
          <w:p w14:paraId="3C1D674C" w14:textId="77777777" w:rsidR="00557DA7" w:rsidRPr="00557DA7" w:rsidRDefault="00557DA7">
            <w:pPr>
              <w:rPr>
                <w:b/>
                <w:bCs/>
                <w:sz w:val="20"/>
                <w:szCs w:val="20"/>
              </w:rPr>
            </w:pPr>
            <w:r w:rsidRPr="00557DA7">
              <w:rPr>
                <w:b/>
                <w:bCs/>
                <w:sz w:val="20"/>
                <w:szCs w:val="20"/>
              </w:rPr>
              <w:t>IPVA</w:t>
            </w:r>
          </w:p>
        </w:tc>
        <w:tc>
          <w:tcPr>
            <w:tcW w:w="6731" w:type="dxa"/>
          </w:tcPr>
          <w:p w14:paraId="541BC2B6" w14:textId="77777777" w:rsidR="007E13A4" w:rsidRPr="007E13A4" w:rsidRDefault="007E13A4" w:rsidP="007E13A4">
            <w:pPr>
              <w:spacing w:after="0" w:line="240" w:lineRule="auto"/>
              <w:rPr>
                <w:sz w:val="20"/>
                <w:szCs w:val="20"/>
              </w:rPr>
            </w:pPr>
            <w:r w:rsidRPr="007E13A4">
              <w:rPr>
                <w:sz w:val="20"/>
                <w:szCs w:val="20"/>
              </w:rPr>
              <w:t>Vem 50% - vinculação obrigatória saúde e educação</w:t>
            </w:r>
          </w:p>
          <w:p w14:paraId="48099A8E" w14:textId="77777777" w:rsidR="007E13A4" w:rsidRPr="007E13A4" w:rsidRDefault="007E13A4" w:rsidP="007E13A4">
            <w:pPr>
              <w:spacing w:after="0" w:line="240" w:lineRule="auto"/>
              <w:rPr>
                <w:sz w:val="20"/>
                <w:szCs w:val="20"/>
              </w:rPr>
            </w:pPr>
            <w:r w:rsidRPr="007E13A4">
              <w:rPr>
                <w:sz w:val="20"/>
                <w:szCs w:val="20"/>
              </w:rPr>
              <w:t>Como aumentar:</w:t>
            </w:r>
          </w:p>
          <w:p w14:paraId="337B1CA4" w14:textId="77777777" w:rsidR="007E13A4" w:rsidRPr="007E13A4" w:rsidRDefault="007E13A4" w:rsidP="007E13A4">
            <w:pPr>
              <w:spacing w:after="0" w:line="240" w:lineRule="auto"/>
              <w:rPr>
                <w:sz w:val="20"/>
                <w:szCs w:val="20"/>
              </w:rPr>
            </w:pPr>
            <w:r w:rsidRPr="007E13A4">
              <w:rPr>
                <w:sz w:val="20"/>
                <w:szCs w:val="20"/>
              </w:rPr>
              <w:t>* estimular emplacamento</w:t>
            </w:r>
          </w:p>
          <w:p w14:paraId="15069E5E" w14:textId="77777777" w:rsidR="007E13A4" w:rsidRPr="007E13A4" w:rsidRDefault="007E13A4" w:rsidP="007E13A4">
            <w:pPr>
              <w:spacing w:after="0" w:line="240" w:lineRule="auto"/>
              <w:rPr>
                <w:sz w:val="20"/>
                <w:szCs w:val="20"/>
              </w:rPr>
            </w:pPr>
            <w:r w:rsidRPr="007E13A4">
              <w:rPr>
                <w:sz w:val="20"/>
                <w:szCs w:val="20"/>
              </w:rPr>
              <w:t>* conceder incentivos (observar a Lei de Responsabilidade Fiscal)</w:t>
            </w:r>
          </w:p>
          <w:p w14:paraId="39F62702" w14:textId="77777777" w:rsidR="007E13A4" w:rsidRPr="007E13A4" w:rsidRDefault="007E13A4" w:rsidP="007E13A4">
            <w:pPr>
              <w:spacing w:after="0" w:line="240" w:lineRule="auto"/>
              <w:rPr>
                <w:sz w:val="20"/>
                <w:szCs w:val="20"/>
              </w:rPr>
            </w:pPr>
            <w:r w:rsidRPr="007E13A4">
              <w:rPr>
                <w:sz w:val="20"/>
                <w:szCs w:val="20"/>
              </w:rPr>
              <w:t>* determinar veículos de locação e equipamentos sejam emplacados no município</w:t>
            </w:r>
          </w:p>
          <w:p w14:paraId="01B60536" w14:textId="33434DAC" w:rsidR="00557DA7" w:rsidRPr="00557DA7" w:rsidRDefault="007E13A4" w:rsidP="007E13A4">
            <w:pPr>
              <w:rPr>
                <w:sz w:val="20"/>
                <w:szCs w:val="20"/>
              </w:rPr>
            </w:pPr>
            <w:r w:rsidRPr="007E13A4">
              <w:rPr>
                <w:sz w:val="20"/>
                <w:szCs w:val="20"/>
              </w:rPr>
              <w:t>* acompanhamento de empresas de transporte de cargas e passageiros</w:t>
            </w:r>
          </w:p>
        </w:tc>
      </w:tr>
      <w:tr w:rsidR="00557DA7" w:rsidRPr="00557DA7" w14:paraId="32559AD2" w14:textId="1E7E5593" w:rsidTr="00557DA7">
        <w:trPr>
          <w:trHeight w:val="165"/>
        </w:trPr>
        <w:tc>
          <w:tcPr>
            <w:tcW w:w="4037" w:type="dxa"/>
            <w:noWrap/>
            <w:hideMark/>
          </w:tcPr>
          <w:p w14:paraId="4EAF3373" w14:textId="77777777" w:rsidR="00557DA7" w:rsidRPr="00557DA7" w:rsidRDefault="00557DA7">
            <w:pPr>
              <w:rPr>
                <w:b/>
                <w:bCs/>
                <w:sz w:val="20"/>
                <w:szCs w:val="20"/>
              </w:rPr>
            </w:pPr>
            <w:r w:rsidRPr="00557DA7">
              <w:rPr>
                <w:b/>
                <w:bCs/>
                <w:sz w:val="20"/>
                <w:szCs w:val="20"/>
              </w:rPr>
              <w:t>IPI-EX</w:t>
            </w:r>
          </w:p>
        </w:tc>
        <w:tc>
          <w:tcPr>
            <w:tcW w:w="6731" w:type="dxa"/>
          </w:tcPr>
          <w:p w14:paraId="1732E6E5" w14:textId="77777777" w:rsidR="007E13A4" w:rsidRPr="007E13A4" w:rsidRDefault="007E13A4" w:rsidP="007E13A4">
            <w:pPr>
              <w:spacing w:after="0" w:line="240" w:lineRule="auto"/>
              <w:rPr>
                <w:sz w:val="20"/>
                <w:szCs w:val="20"/>
              </w:rPr>
            </w:pPr>
            <w:r w:rsidRPr="007E13A4">
              <w:rPr>
                <w:sz w:val="20"/>
                <w:szCs w:val="20"/>
              </w:rPr>
              <w:t xml:space="preserve">IPI-EX (Exportação + ICMS </w:t>
            </w:r>
            <w:proofErr w:type="spellStart"/>
            <w:r w:rsidRPr="007E13A4">
              <w:rPr>
                <w:sz w:val="20"/>
                <w:szCs w:val="20"/>
              </w:rPr>
              <w:t>Exp</w:t>
            </w:r>
            <w:proofErr w:type="spellEnd"/>
            <w:r w:rsidRPr="007E13A4">
              <w:rPr>
                <w:sz w:val="20"/>
                <w:szCs w:val="20"/>
              </w:rPr>
              <w:t>)</w:t>
            </w:r>
          </w:p>
          <w:p w14:paraId="16D0A327" w14:textId="77777777" w:rsidR="007E13A4" w:rsidRPr="007E13A4" w:rsidRDefault="007E13A4" w:rsidP="007E13A4">
            <w:pPr>
              <w:spacing w:after="0" w:line="240" w:lineRule="auto"/>
              <w:rPr>
                <w:sz w:val="20"/>
                <w:szCs w:val="20"/>
              </w:rPr>
            </w:pPr>
          </w:p>
          <w:p w14:paraId="5D0FDF57" w14:textId="77777777" w:rsidR="007E13A4" w:rsidRPr="007E13A4" w:rsidRDefault="007E13A4" w:rsidP="007E13A4">
            <w:pPr>
              <w:spacing w:after="0" w:line="240" w:lineRule="auto"/>
              <w:rPr>
                <w:sz w:val="20"/>
                <w:szCs w:val="20"/>
              </w:rPr>
            </w:pPr>
            <w:r w:rsidRPr="007E13A4">
              <w:rPr>
                <w:sz w:val="20"/>
                <w:szCs w:val="20"/>
              </w:rPr>
              <w:t>10% vão para Estado, --&gt; desses, 25% p/ municípios conforme a partilha do ICMS</w:t>
            </w:r>
          </w:p>
          <w:p w14:paraId="44F7F415" w14:textId="77777777" w:rsidR="007E13A4" w:rsidRPr="007E13A4" w:rsidRDefault="007E13A4" w:rsidP="007E13A4">
            <w:pPr>
              <w:spacing w:after="0" w:line="240" w:lineRule="auto"/>
              <w:rPr>
                <w:sz w:val="20"/>
                <w:szCs w:val="20"/>
              </w:rPr>
            </w:pPr>
            <w:r w:rsidRPr="007E13A4">
              <w:rPr>
                <w:sz w:val="20"/>
                <w:szCs w:val="20"/>
              </w:rPr>
              <w:lastRenderedPageBreak/>
              <w:t>Deduz:</w:t>
            </w:r>
          </w:p>
          <w:p w14:paraId="775B9D8C" w14:textId="77777777" w:rsidR="007E13A4" w:rsidRPr="007E13A4" w:rsidRDefault="007E13A4" w:rsidP="007E13A4">
            <w:pPr>
              <w:spacing w:after="0" w:line="240" w:lineRule="auto"/>
              <w:rPr>
                <w:sz w:val="20"/>
                <w:szCs w:val="20"/>
              </w:rPr>
            </w:pPr>
            <w:r w:rsidRPr="007E13A4">
              <w:rPr>
                <w:sz w:val="20"/>
                <w:szCs w:val="20"/>
              </w:rPr>
              <w:t>20% ao Fundeb</w:t>
            </w:r>
          </w:p>
          <w:p w14:paraId="6FA5A6D1" w14:textId="10B7EE7C" w:rsidR="00557DA7" w:rsidRPr="00557DA7" w:rsidRDefault="007E13A4" w:rsidP="007E13A4">
            <w:pPr>
              <w:rPr>
                <w:sz w:val="20"/>
                <w:szCs w:val="20"/>
              </w:rPr>
            </w:pPr>
            <w:r w:rsidRPr="007E13A4">
              <w:rPr>
                <w:sz w:val="20"/>
                <w:szCs w:val="20"/>
              </w:rPr>
              <w:t>1% ao Pasep</w:t>
            </w:r>
          </w:p>
        </w:tc>
      </w:tr>
      <w:tr w:rsidR="00557DA7" w:rsidRPr="00557DA7" w14:paraId="086D095E" w14:textId="2E4EA6F3" w:rsidTr="00557DA7">
        <w:trPr>
          <w:trHeight w:val="165"/>
        </w:trPr>
        <w:tc>
          <w:tcPr>
            <w:tcW w:w="4037" w:type="dxa"/>
            <w:noWrap/>
            <w:hideMark/>
          </w:tcPr>
          <w:p w14:paraId="1998727E" w14:textId="77777777" w:rsidR="00557DA7" w:rsidRPr="00557DA7" w:rsidRDefault="00557DA7">
            <w:pPr>
              <w:rPr>
                <w:b/>
                <w:bCs/>
                <w:sz w:val="20"/>
                <w:szCs w:val="20"/>
              </w:rPr>
            </w:pPr>
            <w:r w:rsidRPr="00557DA7">
              <w:rPr>
                <w:b/>
                <w:bCs/>
                <w:sz w:val="20"/>
                <w:szCs w:val="20"/>
              </w:rPr>
              <w:lastRenderedPageBreak/>
              <w:t>CIDE</w:t>
            </w:r>
          </w:p>
        </w:tc>
        <w:tc>
          <w:tcPr>
            <w:tcW w:w="6731" w:type="dxa"/>
          </w:tcPr>
          <w:p w14:paraId="6A723AB3" w14:textId="77777777" w:rsidR="007E13A4" w:rsidRPr="007E13A4" w:rsidRDefault="007E13A4" w:rsidP="007E13A4">
            <w:pPr>
              <w:spacing w:after="0" w:line="240" w:lineRule="auto"/>
              <w:rPr>
                <w:sz w:val="20"/>
                <w:szCs w:val="20"/>
              </w:rPr>
            </w:pPr>
            <w:r w:rsidRPr="007E13A4">
              <w:rPr>
                <w:sz w:val="20"/>
                <w:szCs w:val="20"/>
              </w:rPr>
              <w:t>Instituída: EC 33/2001 (</w:t>
            </w:r>
            <w:proofErr w:type="spellStart"/>
            <w:r w:rsidRPr="007E13A4">
              <w:rPr>
                <w:sz w:val="20"/>
                <w:szCs w:val="20"/>
              </w:rPr>
              <w:t>petroleo+derivados</w:t>
            </w:r>
            <w:proofErr w:type="spellEnd"/>
            <w:r w:rsidRPr="007E13A4">
              <w:rPr>
                <w:sz w:val="20"/>
                <w:szCs w:val="20"/>
              </w:rPr>
              <w:t xml:space="preserve">, </w:t>
            </w:r>
            <w:proofErr w:type="spellStart"/>
            <w:r w:rsidRPr="007E13A4">
              <w:rPr>
                <w:sz w:val="20"/>
                <w:szCs w:val="20"/>
              </w:rPr>
              <w:t>gas</w:t>
            </w:r>
            <w:proofErr w:type="spellEnd"/>
            <w:r w:rsidRPr="007E13A4">
              <w:rPr>
                <w:sz w:val="20"/>
                <w:szCs w:val="20"/>
              </w:rPr>
              <w:t xml:space="preserve">, </w:t>
            </w:r>
            <w:proofErr w:type="spellStart"/>
            <w:r w:rsidRPr="007E13A4">
              <w:rPr>
                <w:sz w:val="20"/>
                <w:szCs w:val="20"/>
              </w:rPr>
              <w:t>alcool</w:t>
            </w:r>
            <w:proofErr w:type="spellEnd"/>
            <w:r w:rsidRPr="007E13A4">
              <w:rPr>
                <w:sz w:val="20"/>
                <w:szCs w:val="20"/>
              </w:rPr>
              <w:t xml:space="preserve"> </w:t>
            </w:r>
            <w:proofErr w:type="spellStart"/>
            <w:r w:rsidRPr="007E13A4">
              <w:rPr>
                <w:sz w:val="20"/>
                <w:szCs w:val="20"/>
              </w:rPr>
              <w:t>etilico</w:t>
            </w:r>
            <w:proofErr w:type="spellEnd"/>
            <w:r w:rsidRPr="007E13A4">
              <w:rPr>
                <w:sz w:val="20"/>
                <w:szCs w:val="20"/>
              </w:rPr>
              <w:t>)</w:t>
            </w:r>
          </w:p>
          <w:p w14:paraId="3B42DC17" w14:textId="77777777" w:rsidR="007E13A4" w:rsidRPr="007E13A4" w:rsidRDefault="007E13A4" w:rsidP="007E13A4">
            <w:pPr>
              <w:spacing w:after="0" w:line="240" w:lineRule="auto"/>
              <w:rPr>
                <w:sz w:val="20"/>
                <w:szCs w:val="20"/>
              </w:rPr>
            </w:pPr>
            <w:r w:rsidRPr="007E13A4">
              <w:rPr>
                <w:sz w:val="20"/>
                <w:szCs w:val="20"/>
              </w:rPr>
              <w:t>única contribuição social partilhada com Estados e Municípios</w:t>
            </w:r>
          </w:p>
          <w:p w14:paraId="0F02355A" w14:textId="77777777" w:rsidR="007E13A4" w:rsidRPr="007E13A4" w:rsidRDefault="007E13A4" w:rsidP="007E13A4">
            <w:pPr>
              <w:spacing w:after="0" w:line="240" w:lineRule="auto"/>
              <w:rPr>
                <w:sz w:val="20"/>
                <w:szCs w:val="20"/>
              </w:rPr>
            </w:pPr>
          </w:p>
          <w:p w14:paraId="62C56CC0" w14:textId="77777777" w:rsidR="007E13A4" w:rsidRPr="007E13A4" w:rsidRDefault="007E13A4" w:rsidP="007E13A4">
            <w:pPr>
              <w:spacing w:after="0" w:line="240" w:lineRule="auto"/>
              <w:rPr>
                <w:sz w:val="20"/>
                <w:szCs w:val="20"/>
              </w:rPr>
            </w:pPr>
            <w:r w:rsidRPr="007E13A4">
              <w:rPr>
                <w:sz w:val="20"/>
                <w:szCs w:val="20"/>
              </w:rPr>
              <w:t>TRIMESTRAL (</w:t>
            </w:r>
            <w:proofErr w:type="spellStart"/>
            <w:r w:rsidRPr="007E13A4">
              <w:rPr>
                <w:sz w:val="20"/>
                <w:szCs w:val="20"/>
              </w:rPr>
              <w:t>jan</w:t>
            </w:r>
            <w:proofErr w:type="spellEnd"/>
            <w:r w:rsidRPr="007E13A4">
              <w:rPr>
                <w:sz w:val="20"/>
                <w:szCs w:val="20"/>
              </w:rPr>
              <w:t xml:space="preserve">, </w:t>
            </w:r>
            <w:proofErr w:type="spellStart"/>
            <w:r w:rsidRPr="007E13A4">
              <w:rPr>
                <w:sz w:val="20"/>
                <w:szCs w:val="20"/>
              </w:rPr>
              <w:t>abr</w:t>
            </w:r>
            <w:proofErr w:type="spellEnd"/>
            <w:r w:rsidRPr="007E13A4">
              <w:rPr>
                <w:sz w:val="20"/>
                <w:szCs w:val="20"/>
              </w:rPr>
              <w:t xml:space="preserve">, </w:t>
            </w:r>
            <w:proofErr w:type="spellStart"/>
            <w:r w:rsidRPr="007E13A4">
              <w:rPr>
                <w:sz w:val="20"/>
                <w:szCs w:val="20"/>
              </w:rPr>
              <w:t>julh</w:t>
            </w:r>
            <w:proofErr w:type="spellEnd"/>
            <w:r w:rsidRPr="007E13A4">
              <w:rPr>
                <w:sz w:val="20"/>
                <w:szCs w:val="20"/>
              </w:rPr>
              <w:t>, out) até 8o dia útil no BB, de acordo com o art. 177, 4º da CF</w:t>
            </w:r>
          </w:p>
          <w:p w14:paraId="4AE9DE49" w14:textId="77777777" w:rsidR="007E13A4" w:rsidRPr="007E13A4" w:rsidRDefault="007E13A4" w:rsidP="007E13A4">
            <w:pPr>
              <w:spacing w:after="0" w:line="240" w:lineRule="auto"/>
              <w:rPr>
                <w:sz w:val="20"/>
                <w:szCs w:val="20"/>
              </w:rPr>
            </w:pPr>
            <w:r w:rsidRPr="007E13A4">
              <w:rPr>
                <w:sz w:val="20"/>
                <w:szCs w:val="20"/>
              </w:rPr>
              <w:t>desconta 1% Pasep</w:t>
            </w:r>
          </w:p>
          <w:p w14:paraId="09017CE0" w14:textId="77777777" w:rsidR="007E13A4" w:rsidRPr="007E13A4" w:rsidRDefault="007E13A4" w:rsidP="007E13A4">
            <w:pPr>
              <w:spacing w:after="0" w:line="240" w:lineRule="auto"/>
              <w:rPr>
                <w:sz w:val="20"/>
                <w:szCs w:val="20"/>
              </w:rPr>
            </w:pPr>
            <w:r w:rsidRPr="007E13A4">
              <w:rPr>
                <w:sz w:val="20"/>
                <w:szCs w:val="20"/>
              </w:rPr>
              <w:t>71% União</w:t>
            </w:r>
          </w:p>
          <w:p w14:paraId="19205580" w14:textId="77777777" w:rsidR="007E13A4" w:rsidRPr="007E13A4" w:rsidRDefault="007E13A4" w:rsidP="007E13A4">
            <w:pPr>
              <w:spacing w:after="0" w:line="240" w:lineRule="auto"/>
              <w:rPr>
                <w:sz w:val="20"/>
                <w:szCs w:val="20"/>
              </w:rPr>
            </w:pPr>
            <w:r w:rsidRPr="007E13A4">
              <w:rPr>
                <w:sz w:val="20"/>
                <w:szCs w:val="20"/>
              </w:rPr>
              <w:t xml:space="preserve">29% para o Estado -&gt; desses, 25% p/ municípios (50% critério FPM, 50% </w:t>
            </w:r>
            <w:proofErr w:type="spellStart"/>
            <w:r w:rsidRPr="007E13A4">
              <w:rPr>
                <w:sz w:val="20"/>
                <w:szCs w:val="20"/>
              </w:rPr>
              <w:t>prop</w:t>
            </w:r>
            <w:proofErr w:type="spellEnd"/>
            <w:r w:rsidRPr="007E13A4">
              <w:rPr>
                <w:sz w:val="20"/>
                <w:szCs w:val="20"/>
              </w:rPr>
              <w:t xml:space="preserve"> população)</w:t>
            </w:r>
          </w:p>
          <w:p w14:paraId="087CC4DA" w14:textId="77777777" w:rsidR="007E13A4" w:rsidRPr="007E13A4" w:rsidRDefault="007E13A4" w:rsidP="007E13A4">
            <w:pPr>
              <w:spacing w:after="0" w:line="240" w:lineRule="auto"/>
              <w:rPr>
                <w:sz w:val="20"/>
                <w:szCs w:val="20"/>
              </w:rPr>
            </w:pPr>
          </w:p>
          <w:p w14:paraId="1A679005" w14:textId="35989F43" w:rsidR="00557DA7" w:rsidRPr="00557DA7" w:rsidRDefault="007E13A4" w:rsidP="007E13A4">
            <w:pPr>
              <w:rPr>
                <w:sz w:val="20"/>
                <w:szCs w:val="20"/>
              </w:rPr>
            </w:pPr>
            <w:r w:rsidRPr="007E13A4">
              <w:rPr>
                <w:sz w:val="20"/>
                <w:szCs w:val="20"/>
              </w:rPr>
              <w:t>Deve ser aplicado em infraestrutura e transporte</w:t>
            </w:r>
          </w:p>
        </w:tc>
      </w:tr>
      <w:tr w:rsidR="00557DA7" w:rsidRPr="00557DA7" w14:paraId="43BD0D5D" w14:textId="120CDE32" w:rsidTr="00557DA7">
        <w:trPr>
          <w:trHeight w:val="188"/>
        </w:trPr>
        <w:tc>
          <w:tcPr>
            <w:tcW w:w="4037" w:type="dxa"/>
            <w:noWrap/>
            <w:hideMark/>
          </w:tcPr>
          <w:p w14:paraId="5A0D1A76" w14:textId="52C03406" w:rsidR="00557DA7" w:rsidRPr="00557DA7" w:rsidRDefault="007E13A4">
            <w:pPr>
              <w:rPr>
                <w:b/>
                <w:bCs/>
                <w:sz w:val="20"/>
                <w:szCs w:val="20"/>
              </w:rPr>
            </w:pPr>
            <w:proofErr w:type="spellStart"/>
            <w:r w:rsidRPr="00557DA7">
              <w:rPr>
                <w:b/>
                <w:bCs/>
                <w:sz w:val="20"/>
                <w:szCs w:val="20"/>
              </w:rPr>
              <w:t>Transf</w:t>
            </w:r>
            <w:proofErr w:type="spellEnd"/>
            <w:r w:rsidRPr="00557DA7">
              <w:rPr>
                <w:b/>
                <w:bCs/>
                <w:sz w:val="20"/>
                <w:szCs w:val="20"/>
              </w:rPr>
              <w:t>. Convênios/Outras</w:t>
            </w:r>
          </w:p>
        </w:tc>
        <w:tc>
          <w:tcPr>
            <w:tcW w:w="6731" w:type="dxa"/>
          </w:tcPr>
          <w:p w14:paraId="1356429B" w14:textId="77777777" w:rsidR="007E13A4" w:rsidRPr="007E13A4" w:rsidRDefault="007E13A4" w:rsidP="007E13A4">
            <w:pPr>
              <w:spacing w:after="0" w:line="240" w:lineRule="auto"/>
              <w:rPr>
                <w:sz w:val="20"/>
                <w:szCs w:val="20"/>
              </w:rPr>
            </w:pPr>
            <w:r w:rsidRPr="007E13A4">
              <w:rPr>
                <w:sz w:val="20"/>
                <w:szCs w:val="20"/>
              </w:rPr>
              <w:t>emendas previstas na Constituição Federal - Dentre os tipos de emendas estão</w:t>
            </w:r>
          </w:p>
          <w:p w14:paraId="6F460049" w14:textId="77777777" w:rsidR="007E13A4" w:rsidRPr="007E13A4" w:rsidRDefault="007E13A4" w:rsidP="007E13A4">
            <w:pPr>
              <w:spacing w:after="0" w:line="240" w:lineRule="auto"/>
              <w:rPr>
                <w:sz w:val="20"/>
                <w:szCs w:val="20"/>
              </w:rPr>
            </w:pPr>
            <w:r w:rsidRPr="007E13A4">
              <w:rPr>
                <w:sz w:val="20"/>
                <w:szCs w:val="20"/>
              </w:rPr>
              <w:t>as de bancada,</w:t>
            </w:r>
          </w:p>
          <w:p w14:paraId="6B85D166" w14:textId="77777777" w:rsidR="007E13A4" w:rsidRPr="007E13A4" w:rsidRDefault="007E13A4" w:rsidP="007E13A4">
            <w:pPr>
              <w:spacing w:after="0" w:line="240" w:lineRule="auto"/>
              <w:rPr>
                <w:sz w:val="20"/>
                <w:szCs w:val="20"/>
              </w:rPr>
            </w:pPr>
            <w:r w:rsidRPr="007E13A4">
              <w:rPr>
                <w:sz w:val="20"/>
                <w:szCs w:val="20"/>
              </w:rPr>
              <w:t>as de relatoria,</w:t>
            </w:r>
          </w:p>
          <w:p w14:paraId="07BF3104" w14:textId="77777777" w:rsidR="007E13A4" w:rsidRPr="007E13A4" w:rsidRDefault="007E13A4" w:rsidP="007E13A4">
            <w:pPr>
              <w:spacing w:after="0" w:line="240" w:lineRule="auto"/>
              <w:rPr>
                <w:sz w:val="20"/>
                <w:szCs w:val="20"/>
              </w:rPr>
            </w:pPr>
            <w:r w:rsidRPr="007E13A4">
              <w:rPr>
                <w:sz w:val="20"/>
                <w:szCs w:val="20"/>
              </w:rPr>
              <w:t>individual impositiva - estabelecem a obrigatoriedade de concretização do pagamento e ressaltou que as emendas especiais podem beneficiar indiretamente os consórcios públicos</w:t>
            </w:r>
          </w:p>
          <w:p w14:paraId="12B4D77E" w14:textId="4CC81CC7" w:rsidR="00557DA7" w:rsidRPr="00557DA7" w:rsidRDefault="007E13A4" w:rsidP="007E13A4">
            <w:pPr>
              <w:rPr>
                <w:sz w:val="20"/>
                <w:szCs w:val="20"/>
              </w:rPr>
            </w:pPr>
            <w:r w:rsidRPr="007E13A4">
              <w:rPr>
                <w:sz w:val="20"/>
                <w:szCs w:val="20"/>
              </w:rPr>
              <w:t>e especiais.</w:t>
            </w:r>
          </w:p>
        </w:tc>
      </w:tr>
      <w:tr w:rsidR="00557DA7" w:rsidRPr="00557DA7" w14:paraId="5F61E9C1" w14:textId="74D739C5" w:rsidTr="00557DA7">
        <w:trPr>
          <w:trHeight w:val="165"/>
        </w:trPr>
        <w:tc>
          <w:tcPr>
            <w:tcW w:w="4037" w:type="dxa"/>
            <w:noWrap/>
            <w:hideMark/>
          </w:tcPr>
          <w:p w14:paraId="7A8F1D3F" w14:textId="77777777" w:rsidR="00557DA7" w:rsidRPr="00557DA7" w:rsidRDefault="00557DA7">
            <w:pPr>
              <w:rPr>
                <w:b/>
                <w:bCs/>
                <w:sz w:val="20"/>
                <w:szCs w:val="20"/>
              </w:rPr>
            </w:pPr>
            <w:r w:rsidRPr="00557DA7">
              <w:rPr>
                <w:b/>
                <w:bCs/>
                <w:sz w:val="20"/>
                <w:szCs w:val="20"/>
              </w:rPr>
              <w:t xml:space="preserve">Out </w:t>
            </w:r>
            <w:proofErr w:type="spellStart"/>
            <w:r w:rsidRPr="00557DA7">
              <w:rPr>
                <w:b/>
                <w:bCs/>
                <w:sz w:val="20"/>
                <w:szCs w:val="20"/>
              </w:rPr>
              <w:t>Transf</w:t>
            </w:r>
            <w:proofErr w:type="spellEnd"/>
            <w:r w:rsidRPr="00557DA7">
              <w:rPr>
                <w:b/>
                <w:bCs/>
                <w:sz w:val="20"/>
                <w:szCs w:val="20"/>
              </w:rPr>
              <w:t xml:space="preserve"> </w:t>
            </w:r>
            <w:r w:rsidRPr="00557DA7">
              <w:rPr>
                <w:sz w:val="20"/>
                <w:szCs w:val="20"/>
              </w:rPr>
              <w:t>(Fundo Petróleo FEP)</w:t>
            </w:r>
          </w:p>
        </w:tc>
        <w:tc>
          <w:tcPr>
            <w:tcW w:w="6731" w:type="dxa"/>
          </w:tcPr>
          <w:p w14:paraId="0721532C" w14:textId="77777777" w:rsidR="007E13A4" w:rsidRPr="007E13A4" w:rsidRDefault="007E13A4" w:rsidP="007E13A4">
            <w:pPr>
              <w:spacing w:after="0" w:line="240" w:lineRule="auto"/>
              <w:rPr>
                <w:sz w:val="20"/>
                <w:szCs w:val="20"/>
              </w:rPr>
            </w:pPr>
            <w:r w:rsidRPr="007E13A4">
              <w:rPr>
                <w:sz w:val="20"/>
                <w:szCs w:val="20"/>
              </w:rPr>
              <w:t>FEP - lei 7.453/1985</w:t>
            </w:r>
          </w:p>
          <w:p w14:paraId="248071B6" w14:textId="77777777" w:rsidR="007E13A4" w:rsidRPr="007E13A4" w:rsidRDefault="007E13A4" w:rsidP="007E13A4">
            <w:pPr>
              <w:spacing w:after="0" w:line="240" w:lineRule="auto"/>
              <w:rPr>
                <w:sz w:val="20"/>
                <w:szCs w:val="20"/>
              </w:rPr>
            </w:pPr>
            <w:r w:rsidRPr="007E13A4">
              <w:rPr>
                <w:sz w:val="20"/>
                <w:szCs w:val="20"/>
              </w:rPr>
              <w:t>80% município</w:t>
            </w:r>
          </w:p>
          <w:p w14:paraId="6E972BD4" w14:textId="77777777" w:rsidR="007E13A4" w:rsidRPr="007E13A4" w:rsidRDefault="007E13A4" w:rsidP="007E13A4">
            <w:pPr>
              <w:spacing w:after="0" w:line="240" w:lineRule="auto"/>
              <w:rPr>
                <w:sz w:val="20"/>
                <w:szCs w:val="20"/>
              </w:rPr>
            </w:pPr>
            <w:r w:rsidRPr="007E13A4">
              <w:rPr>
                <w:sz w:val="20"/>
                <w:szCs w:val="20"/>
              </w:rPr>
              <w:t>20% estados</w:t>
            </w:r>
          </w:p>
          <w:p w14:paraId="3879669E" w14:textId="77777777" w:rsidR="007E13A4" w:rsidRPr="007E13A4" w:rsidRDefault="007E13A4" w:rsidP="007E13A4">
            <w:pPr>
              <w:spacing w:after="0" w:line="240" w:lineRule="auto"/>
              <w:rPr>
                <w:sz w:val="20"/>
                <w:szCs w:val="20"/>
              </w:rPr>
            </w:pPr>
            <w:r w:rsidRPr="007E13A4">
              <w:rPr>
                <w:sz w:val="20"/>
                <w:szCs w:val="20"/>
              </w:rPr>
              <w:t>mesmo critério FPM</w:t>
            </w:r>
          </w:p>
          <w:p w14:paraId="246285F4" w14:textId="77777777" w:rsidR="007E13A4" w:rsidRPr="007E13A4" w:rsidRDefault="007E13A4" w:rsidP="007E13A4">
            <w:pPr>
              <w:spacing w:after="0" w:line="240" w:lineRule="auto"/>
              <w:rPr>
                <w:sz w:val="20"/>
                <w:szCs w:val="20"/>
              </w:rPr>
            </w:pPr>
            <w:r w:rsidRPr="007E13A4">
              <w:rPr>
                <w:sz w:val="20"/>
                <w:szCs w:val="20"/>
              </w:rPr>
              <w:t>último dia útil do mês na conta FEP</w:t>
            </w:r>
          </w:p>
          <w:p w14:paraId="72B9B136" w14:textId="77777777" w:rsidR="007E13A4" w:rsidRPr="007E13A4" w:rsidRDefault="007E13A4" w:rsidP="007E13A4">
            <w:pPr>
              <w:spacing w:after="0" w:line="240" w:lineRule="auto"/>
              <w:rPr>
                <w:sz w:val="20"/>
                <w:szCs w:val="20"/>
              </w:rPr>
            </w:pPr>
            <w:r w:rsidRPr="007E13A4">
              <w:rPr>
                <w:sz w:val="20"/>
                <w:szCs w:val="20"/>
              </w:rPr>
              <w:t>dedução: 1% Pasep</w:t>
            </w:r>
          </w:p>
          <w:p w14:paraId="58D06112" w14:textId="77777777" w:rsidR="007E13A4" w:rsidRPr="007E13A4" w:rsidRDefault="007E13A4" w:rsidP="007E13A4">
            <w:pPr>
              <w:spacing w:after="0" w:line="240" w:lineRule="auto"/>
              <w:rPr>
                <w:sz w:val="20"/>
                <w:szCs w:val="20"/>
              </w:rPr>
            </w:pPr>
            <w:r w:rsidRPr="007E13A4">
              <w:rPr>
                <w:sz w:val="20"/>
                <w:szCs w:val="20"/>
              </w:rPr>
              <w:t>em que aplicar: Lei 7.990/1989</w:t>
            </w:r>
          </w:p>
          <w:p w14:paraId="7FD01E38" w14:textId="4D28E480" w:rsidR="00557DA7" w:rsidRPr="00557DA7" w:rsidRDefault="007E13A4" w:rsidP="007E13A4">
            <w:pPr>
              <w:rPr>
                <w:sz w:val="20"/>
                <w:szCs w:val="20"/>
              </w:rPr>
            </w:pPr>
            <w:r w:rsidRPr="007E13A4">
              <w:rPr>
                <w:sz w:val="20"/>
                <w:szCs w:val="20"/>
              </w:rPr>
              <w:t>não aplicar: em pagamento de dívida municipal e quadro permanente de pessoal</w:t>
            </w:r>
          </w:p>
        </w:tc>
      </w:tr>
      <w:tr w:rsidR="00557DA7" w:rsidRPr="00557DA7" w14:paraId="319A97A4" w14:textId="6E243AA9" w:rsidTr="00557DA7">
        <w:trPr>
          <w:trHeight w:val="188"/>
        </w:trPr>
        <w:tc>
          <w:tcPr>
            <w:tcW w:w="4037" w:type="dxa"/>
            <w:noWrap/>
            <w:hideMark/>
          </w:tcPr>
          <w:p w14:paraId="4A51724C" w14:textId="77777777" w:rsidR="00557DA7" w:rsidRPr="00557DA7" w:rsidRDefault="00557DA7">
            <w:pPr>
              <w:rPr>
                <w:b/>
                <w:bCs/>
                <w:sz w:val="20"/>
                <w:szCs w:val="20"/>
              </w:rPr>
            </w:pPr>
            <w:r w:rsidRPr="00557DA7">
              <w:rPr>
                <w:b/>
                <w:bCs/>
                <w:sz w:val="20"/>
                <w:szCs w:val="20"/>
              </w:rPr>
              <w:t>Fundeb</w:t>
            </w:r>
          </w:p>
        </w:tc>
        <w:tc>
          <w:tcPr>
            <w:tcW w:w="6731" w:type="dxa"/>
          </w:tcPr>
          <w:p w14:paraId="7EEB4A05" w14:textId="66295BE5" w:rsidR="00557DA7" w:rsidRPr="00557DA7" w:rsidRDefault="007E13A4">
            <w:pPr>
              <w:rPr>
                <w:sz w:val="20"/>
                <w:szCs w:val="20"/>
              </w:rPr>
            </w:pPr>
            <w:r w:rsidRPr="007E13A4">
              <w:rPr>
                <w:sz w:val="20"/>
                <w:szCs w:val="20"/>
              </w:rPr>
              <w:t>A Lei nº 11.947/2009 e Resolução n° 26 do Fundo Nacional para o Desenvolvimento da Educação – FNDE – determina a utilização de no mínimo 30% dos recursos repassados pelo citado fundo para alimentação escolar, na compra de produtos da agricultura familiar.</w:t>
            </w:r>
          </w:p>
        </w:tc>
      </w:tr>
      <w:tr w:rsidR="00557DA7" w:rsidRPr="00557DA7" w14:paraId="3FA5A63D" w14:textId="23839FEC" w:rsidTr="00557DA7">
        <w:trPr>
          <w:trHeight w:val="165"/>
        </w:trPr>
        <w:tc>
          <w:tcPr>
            <w:tcW w:w="4037" w:type="dxa"/>
            <w:noWrap/>
            <w:hideMark/>
          </w:tcPr>
          <w:p w14:paraId="12B833BD" w14:textId="77777777" w:rsidR="00557DA7" w:rsidRPr="00557DA7" w:rsidRDefault="00557DA7">
            <w:pPr>
              <w:rPr>
                <w:b/>
                <w:bCs/>
                <w:sz w:val="20"/>
                <w:szCs w:val="20"/>
              </w:rPr>
            </w:pPr>
            <w:r w:rsidRPr="00557DA7">
              <w:rPr>
                <w:b/>
                <w:bCs/>
                <w:sz w:val="20"/>
                <w:szCs w:val="20"/>
              </w:rPr>
              <w:t>Multas e Juros de Mora</w:t>
            </w:r>
          </w:p>
        </w:tc>
        <w:tc>
          <w:tcPr>
            <w:tcW w:w="6731" w:type="dxa"/>
          </w:tcPr>
          <w:p w14:paraId="0B9AEF30" w14:textId="77777777" w:rsidR="00557DA7" w:rsidRPr="00557DA7" w:rsidRDefault="00557DA7">
            <w:pPr>
              <w:rPr>
                <w:sz w:val="20"/>
                <w:szCs w:val="20"/>
              </w:rPr>
            </w:pPr>
          </w:p>
        </w:tc>
      </w:tr>
      <w:tr w:rsidR="00557DA7" w:rsidRPr="00557DA7" w14:paraId="53F9C5B5" w14:textId="642B6C27" w:rsidTr="00557DA7">
        <w:trPr>
          <w:trHeight w:val="165"/>
        </w:trPr>
        <w:tc>
          <w:tcPr>
            <w:tcW w:w="4037" w:type="dxa"/>
            <w:noWrap/>
            <w:hideMark/>
          </w:tcPr>
          <w:p w14:paraId="0F15D785" w14:textId="77777777" w:rsidR="00557DA7" w:rsidRPr="00557DA7" w:rsidRDefault="00557DA7">
            <w:pPr>
              <w:rPr>
                <w:b/>
                <w:bCs/>
                <w:sz w:val="20"/>
                <w:szCs w:val="20"/>
              </w:rPr>
            </w:pPr>
            <w:r w:rsidRPr="00557DA7">
              <w:rPr>
                <w:b/>
                <w:bCs/>
                <w:sz w:val="20"/>
                <w:szCs w:val="20"/>
              </w:rPr>
              <w:t>Indenizações/Restituições</w:t>
            </w:r>
          </w:p>
        </w:tc>
        <w:tc>
          <w:tcPr>
            <w:tcW w:w="6731" w:type="dxa"/>
          </w:tcPr>
          <w:p w14:paraId="70E0F19A" w14:textId="77777777" w:rsidR="00557DA7" w:rsidRPr="00557DA7" w:rsidRDefault="00557DA7">
            <w:pPr>
              <w:rPr>
                <w:sz w:val="20"/>
                <w:szCs w:val="20"/>
              </w:rPr>
            </w:pPr>
          </w:p>
        </w:tc>
      </w:tr>
      <w:tr w:rsidR="00557DA7" w:rsidRPr="00557DA7" w14:paraId="4AACCAD5" w14:textId="1B4D6928" w:rsidTr="00557DA7">
        <w:trPr>
          <w:trHeight w:val="165"/>
        </w:trPr>
        <w:tc>
          <w:tcPr>
            <w:tcW w:w="4037" w:type="dxa"/>
            <w:noWrap/>
            <w:hideMark/>
          </w:tcPr>
          <w:p w14:paraId="0A4D1860" w14:textId="77777777" w:rsidR="00557DA7" w:rsidRPr="00557DA7" w:rsidRDefault="00557DA7">
            <w:pPr>
              <w:rPr>
                <w:b/>
                <w:bCs/>
                <w:sz w:val="20"/>
                <w:szCs w:val="20"/>
              </w:rPr>
            </w:pPr>
            <w:r w:rsidRPr="00557DA7">
              <w:rPr>
                <w:b/>
                <w:bCs/>
                <w:sz w:val="20"/>
                <w:szCs w:val="20"/>
              </w:rPr>
              <w:t xml:space="preserve">Receitas </w:t>
            </w:r>
            <w:proofErr w:type="spellStart"/>
            <w:r w:rsidRPr="00557DA7">
              <w:rPr>
                <w:b/>
                <w:bCs/>
                <w:sz w:val="20"/>
                <w:szCs w:val="20"/>
              </w:rPr>
              <w:t>Div</w:t>
            </w:r>
            <w:proofErr w:type="spellEnd"/>
            <w:r w:rsidRPr="00557DA7">
              <w:rPr>
                <w:b/>
                <w:bCs/>
                <w:sz w:val="20"/>
                <w:szCs w:val="20"/>
              </w:rPr>
              <w:t xml:space="preserve">/Ônus </w:t>
            </w:r>
            <w:proofErr w:type="spellStart"/>
            <w:r w:rsidRPr="00557DA7">
              <w:rPr>
                <w:b/>
                <w:bCs/>
                <w:sz w:val="20"/>
                <w:szCs w:val="20"/>
              </w:rPr>
              <w:t>sucumb</w:t>
            </w:r>
            <w:proofErr w:type="spellEnd"/>
          </w:p>
        </w:tc>
        <w:tc>
          <w:tcPr>
            <w:tcW w:w="6731" w:type="dxa"/>
          </w:tcPr>
          <w:p w14:paraId="03C7E2ED" w14:textId="77777777" w:rsidR="00557DA7" w:rsidRPr="00557DA7" w:rsidRDefault="00557DA7">
            <w:pPr>
              <w:rPr>
                <w:sz w:val="20"/>
                <w:szCs w:val="20"/>
              </w:rPr>
            </w:pPr>
          </w:p>
        </w:tc>
      </w:tr>
      <w:tr w:rsidR="00557DA7" w:rsidRPr="00557DA7" w14:paraId="33781CB0" w14:textId="3C2307FB" w:rsidTr="00557DA7">
        <w:trPr>
          <w:trHeight w:val="165"/>
        </w:trPr>
        <w:tc>
          <w:tcPr>
            <w:tcW w:w="4037" w:type="dxa"/>
            <w:noWrap/>
            <w:hideMark/>
          </w:tcPr>
          <w:p w14:paraId="5DD79B92" w14:textId="77777777" w:rsidR="00557DA7" w:rsidRPr="00557DA7" w:rsidRDefault="00557DA7">
            <w:pPr>
              <w:rPr>
                <w:b/>
                <w:bCs/>
                <w:sz w:val="20"/>
                <w:szCs w:val="20"/>
              </w:rPr>
            </w:pPr>
            <w:r w:rsidRPr="00557DA7">
              <w:rPr>
                <w:b/>
                <w:bCs/>
                <w:sz w:val="20"/>
                <w:szCs w:val="20"/>
              </w:rPr>
              <w:t>Receitas de Capital</w:t>
            </w:r>
          </w:p>
        </w:tc>
        <w:tc>
          <w:tcPr>
            <w:tcW w:w="6731" w:type="dxa"/>
          </w:tcPr>
          <w:p w14:paraId="26F60000" w14:textId="77777777" w:rsidR="00557DA7" w:rsidRPr="00557DA7" w:rsidRDefault="00557DA7">
            <w:pPr>
              <w:rPr>
                <w:sz w:val="20"/>
                <w:szCs w:val="20"/>
              </w:rPr>
            </w:pPr>
          </w:p>
        </w:tc>
      </w:tr>
    </w:tbl>
    <w:p w14:paraId="2555E592" w14:textId="77777777" w:rsidR="001D1E34" w:rsidRPr="00557DA7" w:rsidRDefault="001D1E34">
      <w:pPr>
        <w:rPr>
          <w:sz w:val="20"/>
          <w:szCs w:val="20"/>
        </w:rPr>
      </w:pPr>
    </w:p>
    <w:sectPr w:rsidR="001D1E34" w:rsidRPr="00557DA7" w:rsidSect="004B6DE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A7"/>
    <w:rsid w:val="001D1E34"/>
    <w:rsid w:val="00442536"/>
    <w:rsid w:val="004B6DEF"/>
    <w:rsid w:val="00557DA7"/>
    <w:rsid w:val="007E1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2574"/>
  <w15:chartTrackingRefBased/>
  <w15:docId w15:val="{01B41720-04DB-44A9-A3E8-C67517D3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5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57DA7"/>
    <w:rPr>
      <w:color w:val="0563C1" w:themeColor="hyperlink"/>
      <w:u w:val="single"/>
    </w:rPr>
  </w:style>
  <w:style w:type="character" w:styleId="MenoPendente">
    <w:name w:val="Unresolved Mention"/>
    <w:basedOn w:val="Fontepargpadro"/>
    <w:uiPriority w:val="99"/>
    <w:semiHidden/>
    <w:unhideWhenUsed/>
    <w:rsid w:val="0055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2399">
      <w:bodyDiv w:val="1"/>
      <w:marLeft w:val="0"/>
      <w:marRight w:val="0"/>
      <w:marTop w:val="0"/>
      <w:marBottom w:val="0"/>
      <w:divBdr>
        <w:top w:val="none" w:sz="0" w:space="0" w:color="auto"/>
        <w:left w:val="none" w:sz="0" w:space="0" w:color="auto"/>
        <w:bottom w:val="none" w:sz="0" w:space="0" w:color="auto"/>
        <w:right w:val="none" w:sz="0" w:space="0" w:color="auto"/>
      </w:divBdr>
    </w:div>
    <w:div w:id="752047952">
      <w:bodyDiv w:val="1"/>
      <w:marLeft w:val="0"/>
      <w:marRight w:val="0"/>
      <w:marTop w:val="0"/>
      <w:marBottom w:val="0"/>
      <w:divBdr>
        <w:top w:val="none" w:sz="0" w:space="0" w:color="auto"/>
        <w:left w:val="none" w:sz="0" w:space="0" w:color="auto"/>
        <w:bottom w:val="none" w:sz="0" w:space="0" w:color="auto"/>
        <w:right w:val="none" w:sz="0" w:space="0" w:color="auto"/>
      </w:divBdr>
    </w:div>
    <w:div w:id="19396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endimento.receita.rs.gov.br/manual-aim" TargetMode="External"/><Relationship Id="rId5" Type="http://schemas.openxmlformats.org/officeDocument/2006/relationships/hyperlink" Target="https://atendimento.receita.rs.gov.br/roteiro-impugnacao-eletronica-ipm" TargetMode="External"/><Relationship Id="rId4" Type="http://schemas.openxmlformats.org/officeDocument/2006/relationships/hyperlink" Target="https://www.cnm.org.br/comunicacao/noticias/fundeb-2022-cnm-divulga-estimativa-por-municipi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1256</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dc:creator>
  <cp:keywords/>
  <dc:description/>
  <cp:lastModifiedBy>Rafa</cp:lastModifiedBy>
  <cp:revision>3</cp:revision>
  <dcterms:created xsi:type="dcterms:W3CDTF">2023-10-05T17:06:00Z</dcterms:created>
  <dcterms:modified xsi:type="dcterms:W3CDTF">2023-10-05T17:20:00Z</dcterms:modified>
</cp:coreProperties>
</file>