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ascii="Aptos" w:hAnsi="Aptos" w:cs="Aptos"/>
          <w:b/>
          <w:smallCaps/>
          <w:color w:val="000000"/>
          <w:sz w:val="24"/>
          <w:szCs w:val="24"/>
        </w:rPr>
      </w:pPr>
      <w:r>
        <w:rPr>
          <w:rFonts w:cs="Aptos" w:ascii="Aptos" w:hAnsi="Aptos"/>
          <w:b/>
          <w:smallCaps/>
          <w:color w:val="000000"/>
          <w:sz w:val="24"/>
          <w:szCs w:val="24"/>
        </w:rPr>
      </w:r>
    </w:p>
    <w:p>
      <w:pPr>
        <w:pStyle w:val="Normal"/>
        <w:spacing w:lineRule="auto" w:line="276" w:before="120" w:after="120"/>
        <w:ind w:right="120"/>
        <w:jc w:val="center"/>
        <w:rPr>
          <w:rFonts w:cs="Aptos"/>
          <w:b/>
          <w:color w:val="000000"/>
          <w:sz w:val="28"/>
          <w:szCs w:val="28"/>
        </w:rPr>
      </w:pPr>
      <w:bookmarkStart w:id="0" w:name="_heading=h.gjdgxs"/>
      <w:bookmarkEnd w:id="0"/>
      <w:r>
        <w:rPr>
          <w:rFonts w:cs="Aptos"/>
          <w:b/>
          <w:color w:val="000000"/>
          <w:sz w:val="28"/>
          <w:szCs w:val="28"/>
        </w:rPr>
        <w:t>EDITAL DE CHAMAMENTO PÚBLICO</w:t>
      </w:r>
      <w:r>
        <w:rPr>
          <w:rFonts w:cs="Aptos"/>
          <w:b/>
          <w:color w:val="FF0000"/>
          <w:sz w:val="28"/>
          <w:szCs w:val="28"/>
        </w:rPr>
        <w:t xml:space="preserve"> </w:t>
      </w:r>
      <w:r>
        <w:rPr>
          <w:rFonts w:cs="Aptos"/>
          <w:b/>
          <w:color w:val="000000"/>
          <w:sz w:val="28"/>
          <w:szCs w:val="28"/>
        </w:rPr>
        <w:t>Nº 09/2026</w:t>
      </w:r>
    </w:p>
    <w:p>
      <w:pPr>
        <w:pStyle w:val="Normal"/>
        <w:spacing w:lineRule="auto" w:line="276" w:before="120" w:after="120"/>
        <w:ind w:right="120"/>
        <w:jc w:val="center"/>
        <w:rPr>
          <w:rFonts w:cs="Aptos"/>
          <w:b/>
          <w:color w:val="000000"/>
          <w:sz w:val="28"/>
          <w:szCs w:val="28"/>
        </w:rPr>
      </w:pPr>
      <w:r>
        <w:rPr>
          <w:rFonts w:cs="Aptos"/>
          <w:b/>
          <w:color w:val="000000"/>
          <w:sz w:val="28"/>
          <w:szCs w:val="28"/>
        </w:rPr>
        <w:t>PROCESSO LICITATÓRIO N° 61/2026</w:t>
      </w:r>
    </w:p>
    <w:p>
      <w:pPr>
        <w:pStyle w:val="Normal"/>
        <w:spacing w:lineRule="auto" w:line="276" w:before="120" w:after="120"/>
        <w:ind w:right="120"/>
        <w:jc w:val="center"/>
        <w:rPr>
          <w:rFonts w:cs="Aptos"/>
          <w:b/>
          <w:color w:val="000000"/>
          <w:sz w:val="28"/>
          <w:szCs w:val="28"/>
        </w:rPr>
      </w:pPr>
      <w:r>
        <w:rPr>
          <w:rFonts w:cs="Aptos"/>
          <w:b/>
          <w:color w:val="000000"/>
          <w:sz w:val="28"/>
          <w:szCs w:val="28"/>
        </w:rPr>
      </w:r>
    </w:p>
    <w:p>
      <w:pPr>
        <w:pStyle w:val="Normal"/>
        <w:spacing w:lineRule="auto" w:line="276" w:before="120" w:after="120"/>
        <w:ind w:left="120" w:right="120"/>
        <w:jc w:val="center"/>
        <w:rPr>
          <w:sz w:val="28"/>
          <w:szCs w:val="28"/>
        </w:rPr>
      </w:pPr>
      <w:r>
        <w:rPr>
          <w:rFonts w:cs="Aptos"/>
          <w:b/>
          <w:color w:val="000000"/>
          <w:sz w:val="28"/>
          <w:szCs w:val="28"/>
        </w:rPr>
        <w:t>SELEÇÃO DE PROJETOS PARA FIRMAR TERMO DE EXECUÇÃO CULTURAL COM RECURSOS DA POLÍTICA NACIONAL ALDIR BLANC DE FOMENTO À CULTURA – PNAB (LEI Nº 14.399/2022)</w:t>
      </w:r>
    </w:p>
    <w:p>
      <w:pPr>
        <w:pStyle w:val="Normal"/>
        <w:spacing w:lineRule="auto" w:line="276" w:before="120" w:after="120"/>
        <w:ind w:left="120" w:right="120"/>
        <w:jc w:val="center"/>
        <w:rPr>
          <w:rFonts w:cs="Aptos"/>
          <w:color w:val="000000"/>
          <w:sz w:val="28"/>
          <w:szCs w:val="28"/>
        </w:rPr>
      </w:pPr>
      <w:r>
        <w:rPr>
          <w:rFonts w:cs="Aptos"/>
          <w:color w:val="000000"/>
          <w:sz w:val="28"/>
          <w:szCs w:val="28"/>
        </w:rPr>
        <w:t> </w:t>
      </w:r>
    </w:p>
    <w:p>
      <w:pPr>
        <w:pStyle w:val="Normal"/>
        <w:spacing w:lineRule="auto" w:line="276" w:before="120" w:after="120"/>
        <w:ind w:left="120" w:right="120"/>
        <w:jc w:val="center"/>
        <w:rPr>
          <w:rFonts w:cs="Aptos"/>
          <w:color w:val="000000"/>
          <w:sz w:val="28"/>
          <w:szCs w:val="28"/>
        </w:rPr>
      </w:pPr>
      <w:r>
        <w:rPr>
          <w:rFonts w:cs="Aptos"/>
          <w:color w:val="000000"/>
          <w:sz w:val="28"/>
          <w:szCs w:val="28"/>
        </w:rPr>
      </w:r>
    </w:p>
    <w:p>
      <w:pPr>
        <w:pStyle w:val="Normal"/>
        <w:spacing w:lineRule="auto" w:line="276" w:before="57" w:after="57"/>
        <w:jc w:val="both"/>
        <w:rPr>
          <w:rFonts w:cs="Aptos"/>
          <w:color w:val="000000"/>
          <w:sz w:val="24"/>
          <w:szCs w:val="24"/>
        </w:rPr>
      </w:pPr>
      <w:r>
        <w:rPr>
          <w:rFonts w:cs="Aptos"/>
          <w:color w:val="000000"/>
          <w:sz w:val="24"/>
          <w:szCs w:val="24"/>
        </w:rPr>
        <w:t>Olá, agentes culturais de Ibiraiaras!</w:t>
      </w:r>
    </w:p>
    <w:p>
      <w:pPr>
        <w:pStyle w:val="Normal"/>
        <w:spacing w:lineRule="auto" w:line="276" w:before="57" w:after="57"/>
        <w:jc w:val="both"/>
        <w:rPr>
          <w:rFonts w:cs="Aptos"/>
          <w:color w:val="000000"/>
          <w:sz w:val="24"/>
          <w:szCs w:val="24"/>
        </w:rPr>
      </w:pPr>
      <w:r>
        <w:rPr>
          <w:rFonts w:cs="Aptos"/>
          <w:color w:val="000000"/>
          <w:sz w:val="24"/>
          <w:szCs w:val="24"/>
        </w:rPr>
        <w:t xml:space="preserve">Estamos muito felizes com o seu interesse em participar deste chamamento público. </w:t>
      </w:r>
    </w:p>
    <w:p>
      <w:pPr>
        <w:pStyle w:val="Normal"/>
        <w:spacing w:lineRule="auto" w:line="276" w:before="57" w:after="57"/>
        <w:jc w:val="both"/>
        <w:rPr>
          <w:rFonts w:cs="Aptos"/>
          <w:color w:val="000000"/>
          <w:sz w:val="24"/>
          <w:szCs w:val="24"/>
        </w:rPr>
      </w:pPr>
      <w:r>
        <w:rPr>
          <w:rFonts w:cs="Aptos"/>
          <w:color w:val="000000"/>
          <w:sz w:val="24"/>
          <w:szCs w:val="24"/>
        </w:rPr>
        <w:t xml:space="preserve">Este Edital é realizado com recursos do Governo Federal, repassados pelo Ministério da Cultura, por meio da Política Nacional Aldir Blanc de Fomento à Cultura (PNAB). </w:t>
      </w:r>
    </w:p>
    <w:p>
      <w:pPr>
        <w:pStyle w:val="Normal"/>
        <w:spacing w:lineRule="auto" w:line="276" w:before="57" w:after="57"/>
        <w:jc w:val="both"/>
        <w:rPr>
          <w:rFonts w:cs="Aptos"/>
          <w:color w:val="000000"/>
          <w:sz w:val="24"/>
          <w:szCs w:val="24"/>
        </w:rPr>
      </w:pPr>
      <w:r>
        <w:rPr>
          <w:rFonts w:cs="Aptos"/>
          <w:color w:val="000000"/>
          <w:sz w:val="24"/>
          <w:szCs w:val="24"/>
        </w:rPr>
        <w:t xml:space="preserve">Aqui você vai encontrar as regras do edital e como fazer para se inscrever. </w:t>
      </w:r>
    </w:p>
    <w:p>
      <w:pPr>
        <w:pStyle w:val="Normal"/>
        <w:spacing w:lineRule="auto" w:line="276" w:before="57" w:after="57"/>
        <w:jc w:val="both"/>
        <w:rPr>
          <w:rFonts w:cs="Aptos"/>
          <w:color w:val="000000"/>
          <w:sz w:val="24"/>
          <w:szCs w:val="24"/>
        </w:rPr>
      </w:pPr>
      <w:r>
        <w:rPr>
          <w:rFonts w:cs="Aptos"/>
          <w:color w:val="000000"/>
          <w:sz w:val="24"/>
          <w:szCs w:val="24"/>
        </w:rPr>
        <w:t>Boa leitura.</w:t>
      </w:r>
    </w:p>
    <w:p>
      <w:pPr>
        <w:pStyle w:val="Normal"/>
        <w:spacing w:lineRule="auto" w:line="276" w:before="57" w:after="57"/>
        <w:jc w:val="both"/>
        <w:rPr>
          <w:rFonts w:cs="Aptos"/>
          <w:color w:val="000000"/>
          <w:sz w:val="24"/>
          <w:szCs w:val="24"/>
        </w:rPr>
      </w:pPr>
      <w:r>
        <w:rPr>
          <w:rFonts w:cs="Aptos"/>
          <w:color w:val="000000"/>
          <w:sz w:val="24"/>
          <w:szCs w:val="24"/>
        </w:rPr>
        <w:t>Desejamos sucesso!</w:t>
      </w:r>
    </w:p>
    <w:p>
      <w:pPr>
        <w:pStyle w:val="Normal"/>
        <w:spacing w:lineRule="auto" w:line="276" w:before="0" w:after="0"/>
        <w:jc w:val="both"/>
        <w:rPr>
          <w:rFonts w:cs="Aptos"/>
          <w:b/>
          <w:color w:val="000000"/>
          <w:sz w:val="24"/>
          <w:szCs w:val="24"/>
        </w:rPr>
      </w:pPr>
      <w:r>
        <w:rPr>
          <w:rFonts w:cs="Aptos"/>
          <w:b/>
          <w:color w:val="000000"/>
          <w:sz w:val="24"/>
          <w:szCs w:val="24"/>
        </w:rPr>
      </w:r>
    </w:p>
    <w:p>
      <w:pPr>
        <w:pStyle w:val="Normal"/>
        <w:spacing w:lineRule="auto" w:line="276" w:before="0" w:after="0"/>
        <w:jc w:val="both"/>
        <w:rPr>
          <w:rFonts w:cs="Aptos"/>
          <w:b/>
          <w:color w:val="000000"/>
          <w:sz w:val="24"/>
          <w:szCs w:val="24"/>
        </w:rPr>
      </w:pPr>
      <w:r>
        <w:rPr>
          <w:rFonts w:cs="Aptos"/>
          <w:b/>
          <w:color w:val="000000"/>
          <w:sz w:val="24"/>
          <w:szCs w:val="24"/>
        </w:rPr>
      </w:r>
    </w:p>
    <w:p>
      <w:pPr>
        <w:pStyle w:val="Normal"/>
        <w:numPr>
          <w:ilvl w:val="0"/>
          <w:numId w:val="1"/>
        </w:numPr>
        <w:spacing w:lineRule="auto" w:line="276" w:before="0" w:after="0"/>
        <w:jc w:val="both"/>
        <w:rPr>
          <w:rFonts w:cs="Aptos"/>
          <w:b/>
          <w:color w:val="000000"/>
          <w:sz w:val="24"/>
          <w:szCs w:val="24"/>
        </w:rPr>
      </w:pPr>
      <w:r>
        <w:rPr>
          <w:rFonts w:cs="Aptos"/>
          <w:b/>
          <w:color w:val="000000"/>
          <w:sz w:val="24"/>
          <w:szCs w:val="24"/>
        </w:rPr>
        <w:t>POLÍTICA NACIONAL ALDIR BLANC DE FOMENTO À CULTURA</w:t>
      </w:r>
    </w:p>
    <w:p>
      <w:pPr>
        <w:pStyle w:val="Normal"/>
        <w:spacing w:lineRule="auto" w:line="276" w:before="120" w:after="120"/>
        <w:ind w:right="120"/>
        <w:jc w:val="both"/>
        <w:rPr>
          <w:color w:val="000000"/>
        </w:rPr>
      </w:pPr>
      <w:r>
        <w:rPr>
          <w:rFonts w:cs="Aptos"/>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pPr>
        <w:pStyle w:val="Normal"/>
        <w:spacing w:lineRule="auto" w:line="276" w:before="120" w:after="120"/>
        <w:ind w:right="120"/>
        <w:jc w:val="both"/>
        <w:rPr>
          <w:color w:val="000000"/>
        </w:rPr>
      </w:pPr>
      <w:r>
        <w:rPr>
          <w:rFonts w:cs="Aptos"/>
          <w:color w:val="000000"/>
          <w:sz w:val="24"/>
          <w:szCs w:val="24"/>
        </w:rPr>
        <w:t xml:space="preserve">A PNAB objetiva também estruturar o sistema federativo de financiamento à cultura mediante repasses da União aos Estados, Distrito Federal e Municípios de forma continuada. </w:t>
      </w:r>
    </w:p>
    <w:p>
      <w:pPr>
        <w:pStyle w:val="Normal"/>
        <w:spacing w:lineRule="auto" w:line="276" w:before="120" w:after="120"/>
        <w:ind w:right="120"/>
        <w:jc w:val="both"/>
        <w:rPr>
          <w:color w:val="000000"/>
        </w:rPr>
      </w:pPr>
      <w:r>
        <w:rPr>
          <w:rFonts w:cs="Aptos"/>
          <w:color w:val="000000"/>
          <w:sz w:val="24"/>
          <w:szCs w:val="24"/>
        </w:rPr>
        <w:t>As condições para a execução da PNAB foram criadas por meio do engajamento da sociedade e o presente edital destina-se a apoiar projetos apresentados pelos agentes culturais do Município de Ibiraiaras.</w:t>
      </w:r>
    </w:p>
    <w:p>
      <w:pPr>
        <w:pStyle w:val="Normal"/>
        <w:spacing w:lineRule="auto" w:line="276" w:before="120" w:after="120"/>
        <w:ind w:right="120"/>
        <w:jc w:val="both"/>
        <w:rPr/>
      </w:pPr>
      <w:r>
        <w:rPr>
          <w:color w:val="000000"/>
          <w:sz w:val="24"/>
          <w:szCs w:val="24"/>
        </w:rPr>
        <w:t xml:space="preserve">Deste modo, o Município de Ibiraiaras torna público o presente edital elaborado com base na </w:t>
      </w:r>
      <w:r>
        <w:fldChar w:fldCharType="begin"/>
      </w:r>
      <w:r>
        <w:rPr>
          <w:rStyle w:val="Style"/>
          <w:sz w:val="24"/>
          <w:u w:val="single"/>
          <w:szCs w:val="24"/>
          <w:color w:val="000000"/>
        </w:rPr>
        <w:instrText xml:space="preserve"> HYPERLINK "https://www.planalto.gov.br/ccivil_03/_ato2019-2022/2022/lei/l14399.htm" \l ":~:text=1%C2%BA%20Esta%20Lei%20institui%20a,acesso%20%C3%A0%20cultura%20no%20Brasil."</w:instrText>
      </w:r>
      <w:r>
        <w:rPr>
          <w:rStyle w:val="Style"/>
          <w:sz w:val="24"/>
          <w:u w:val="single"/>
          <w:szCs w:val="24"/>
          <w:color w:val="000000"/>
        </w:rPr>
        <w:fldChar w:fldCharType="separate"/>
      </w:r>
      <w:r>
        <w:rPr>
          <w:rStyle w:val="Style"/>
          <w:color w:val="000000"/>
          <w:sz w:val="24"/>
          <w:szCs w:val="24"/>
          <w:u w:val="single"/>
        </w:rPr>
        <w:t>Lei nº 14.399/2022</w:t>
      </w:r>
      <w:r>
        <w:rPr>
          <w:rStyle w:val="Style"/>
          <w:sz w:val="24"/>
          <w:u w:val="single"/>
          <w:szCs w:val="24"/>
          <w:color w:val="000000"/>
        </w:rPr>
        <w:fldChar w:fldCharType="end"/>
      </w:r>
      <w:r>
        <w:rPr>
          <w:color w:val="000000"/>
          <w:sz w:val="24"/>
          <w:szCs w:val="24"/>
        </w:rPr>
        <w:t xml:space="preserve"> (Lei PNAB), na </w:t>
      </w:r>
      <w:hyperlink r:id="rId2">
        <w:r>
          <w:rPr>
            <w:rStyle w:val="Hyperlink"/>
            <w:color w:val="000000"/>
            <w:sz w:val="24"/>
            <w:szCs w:val="24"/>
          </w:rPr>
          <w:t>Lei nº 14.903/2024</w:t>
        </w:r>
      </w:hyperlink>
      <w:r>
        <w:rPr>
          <w:color w:val="000000"/>
          <w:sz w:val="24"/>
          <w:szCs w:val="24"/>
        </w:rPr>
        <w:t xml:space="preserve"> (Marco regulatório do fomento à cultura), no </w:t>
      </w:r>
      <w:r>
        <w:fldChar w:fldCharType="begin"/>
      </w:r>
      <w:r>
        <w:rPr>
          <w:rStyle w:val="Style"/>
          <w:sz w:val="24"/>
          <w:u w:val="single"/>
          <w:szCs w:val="24"/>
          <w:color w:val="000000"/>
        </w:rPr>
        <w:instrText xml:space="preserve"> HYPERLINK "https://www.planalto.gov.br/ccivil_03/_ato2023-2026/2023/decreto/D11740.htm" \l ":~:text=%C3%89%20obrigat%C3%B3ria%20a%20exibi%C3%A7%C3%A3o%20das,de%20a%C3%A7%C3%B5es%20relativas%20%C3%A0%20Pol%C3%ADtica%2C"</w:instrText>
      </w:r>
      <w:r>
        <w:rPr>
          <w:rStyle w:val="Style"/>
          <w:sz w:val="24"/>
          <w:u w:val="single"/>
          <w:szCs w:val="24"/>
          <w:color w:val="000000"/>
        </w:rPr>
        <w:fldChar w:fldCharType="separate"/>
      </w:r>
      <w:r>
        <w:rPr>
          <w:rStyle w:val="Style"/>
          <w:color w:val="000000"/>
          <w:sz w:val="24"/>
          <w:szCs w:val="24"/>
          <w:u w:val="single"/>
        </w:rPr>
        <w:t>Decreto nº 11.740/2023</w:t>
      </w:r>
      <w:r>
        <w:rPr>
          <w:rStyle w:val="Style"/>
          <w:sz w:val="24"/>
          <w:u w:val="single"/>
          <w:szCs w:val="24"/>
          <w:color w:val="000000"/>
        </w:rPr>
        <w:fldChar w:fldCharType="end"/>
      </w:r>
      <w:r>
        <w:rPr>
          <w:color w:val="000000"/>
          <w:sz w:val="24"/>
          <w:szCs w:val="24"/>
        </w:rPr>
        <w:t xml:space="preserve"> (Decreto PNAB), no </w:t>
      </w:r>
      <w:hyperlink r:id="rId3">
        <w:r>
          <w:rPr>
            <w:rStyle w:val="Hyperlink"/>
            <w:color w:val="000000"/>
            <w:sz w:val="24"/>
            <w:szCs w:val="24"/>
          </w:rPr>
          <w:t>Decreto nº 11.453/2023 (Decreto de Fomento)</w:t>
        </w:r>
      </w:hyperlink>
      <w:r>
        <w:rPr>
          <w:color w:val="000000"/>
          <w:sz w:val="24"/>
          <w:szCs w:val="24"/>
        </w:rPr>
        <w:t xml:space="preserve"> e na </w:t>
      </w:r>
      <w:hyperlink r:id="rId4">
        <w:r>
          <w:rPr>
            <w:rStyle w:val="Hyperlink"/>
            <w:color w:val="000000"/>
            <w:sz w:val="24"/>
            <w:szCs w:val="24"/>
          </w:rPr>
          <w:t>Instrução Normativa MINC nº 10/2023</w:t>
        </w:r>
      </w:hyperlink>
      <w:r>
        <w:rPr>
          <w:color w:val="000000"/>
          <w:sz w:val="24"/>
          <w:szCs w:val="24"/>
        </w:rPr>
        <w:t xml:space="preserve"> (IN PNAB de Ações Afirmativas e Acessibilidade).</w:t>
      </w:r>
    </w:p>
    <w:p>
      <w:pPr>
        <w:pStyle w:val="Normal"/>
        <w:spacing w:lineRule="auto" w:line="276" w:before="120" w:after="120"/>
        <w:ind w:left="120" w:right="120"/>
        <w:jc w:val="both"/>
        <w:rPr>
          <w:rFonts w:cs="Aptos"/>
          <w:color w:val="000000"/>
          <w:sz w:val="24"/>
          <w:szCs w:val="24"/>
        </w:rPr>
      </w:pPr>
      <w:r>
        <w:rPr>
          <w:rFonts w:cs="Aptos"/>
          <w:color w:val="000000"/>
          <w:sz w:val="24"/>
          <w:szCs w:val="24"/>
        </w:rPr>
        <w:t> </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numPr>
          <w:ilvl w:val="0"/>
          <w:numId w:val="1"/>
        </w:numPr>
        <w:spacing w:lineRule="auto" w:line="276" w:before="120" w:after="120"/>
        <w:ind w:hanging="360" w:left="720" w:right="120"/>
        <w:jc w:val="both"/>
        <w:rPr>
          <w:rFonts w:cs="Aptos"/>
          <w:b/>
          <w:color w:val="000000"/>
          <w:sz w:val="24"/>
          <w:szCs w:val="24"/>
        </w:rPr>
      </w:pPr>
      <w:r>
        <w:rPr>
          <w:rFonts w:cs="Aptos"/>
          <w:b/>
          <w:color w:val="000000"/>
          <w:sz w:val="24"/>
          <w:szCs w:val="24"/>
        </w:rPr>
        <w:t xml:space="preserve">INFORMAÇÕES GERAIS </w:t>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Objeto do edital</w:t>
      </w:r>
    </w:p>
    <w:p>
      <w:pPr>
        <w:pStyle w:val="Normal"/>
        <w:spacing w:lineRule="auto" w:line="276" w:before="120" w:after="120"/>
        <w:ind w:right="120"/>
        <w:jc w:val="both"/>
        <w:rPr>
          <w:rFonts w:cs="Aptos"/>
          <w:color w:val="000000"/>
          <w:sz w:val="24"/>
          <w:szCs w:val="24"/>
        </w:rPr>
      </w:pPr>
      <w:r>
        <w:rPr>
          <w:rFonts w:cs="Aptos"/>
          <w:color w:val="000000"/>
          <w:sz w:val="24"/>
          <w:szCs w:val="24"/>
        </w:rPr>
        <w:t>O objeto deste Edital é a seleção de projetos culturais para receberem apoio financeiro nas categorias descritas no Anexo I, com o objetivo de incentivar as diversas formas de manifestações culturais do Município de Ibiraiaras.</w:t>
      </w:r>
    </w:p>
    <w:p>
      <w:pPr>
        <w:pStyle w:val="Normal"/>
        <w:spacing w:lineRule="auto" w:line="276" w:before="120" w:after="120"/>
        <w:ind w:left="360" w:right="120"/>
        <w:jc w:val="both"/>
        <w:rPr>
          <w:rFonts w:cs="Aptos"/>
          <w:color w:val="FF0000"/>
          <w:sz w:val="24"/>
          <w:szCs w:val="24"/>
        </w:rPr>
      </w:pPr>
      <w:r>
        <w:rPr>
          <w:rFonts w:cs="Aptos"/>
          <w:color w:val="FF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Quantidade de projetos selecionados</w:t>
      </w:r>
    </w:p>
    <w:p>
      <w:pPr>
        <w:pStyle w:val="Normal"/>
        <w:spacing w:lineRule="auto" w:line="276" w:before="120" w:after="120"/>
        <w:ind w:right="120"/>
        <w:jc w:val="both"/>
        <w:rPr/>
      </w:pPr>
      <w:r>
        <w:rPr>
          <w:rFonts w:cs="Aptos"/>
          <w:color w:val="000000"/>
          <w:sz w:val="24"/>
          <w:szCs w:val="24"/>
        </w:rPr>
        <w:t xml:space="preserve">Serão selecionados </w:t>
      </w:r>
      <w:r>
        <w:rPr>
          <w:rFonts w:cs="Aptos"/>
          <w:b/>
          <w:bCs/>
          <w:color w:val="000000"/>
          <w:sz w:val="24"/>
          <w:szCs w:val="24"/>
        </w:rPr>
        <w:t>4 (quatro)</w:t>
      </w:r>
      <w:r>
        <w:rPr>
          <w:rFonts w:cs="Aptos"/>
          <w:b/>
          <w:bCs/>
          <w:color w:val="FF0000"/>
          <w:sz w:val="24"/>
          <w:szCs w:val="24"/>
        </w:rPr>
        <w:t xml:space="preserve"> </w:t>
      </w:r>
      <w:r>
        <w:rPr>
          <w:rFonts w:cs="Aptos"/>
          <w:b/>
          <w:bCs/>
          <w:color w:val="000000"/>
          <w:sz w:val="24"/>
          <w:szCs w:val="24"/>
        </w:rPr>
        <w:t>projetos</w:t>
      </w:r>
      <w:r>
        <w:rPr>
          <w:rFonts w:cs="Aptos"/>
          <w:color w:val="000000"/>
          <w:sz w:val="24"/>
          <w:szCs w:val="24"/>
        </w:rPr>
        <w:t>.</w:t>
      </w:r>
    </w:p>
    <w:p>
      <w:pPr>
        <w:pStyle w:val="Normal"/>
        <w:spacing w:lineRule="auto" w:line="276" w:before="120" w:after="120"/>
        <w:ind w:right="120"/>
        <w:jc w:val="both"/>
        <w:rPr>
          <w:rFonts w:cs="Aptos"/>
          <w:color w:val="000000"/>
          <w:sz w:val="24"/>
          <w:szCs w:val="24"/>
        </w:rPr>
      </w:pPr>
      <w:r>
        <w:rPr>
          <w:rFonts w:cs="Aptos"/>
          <w:color w:val="000000"/>
          <w:sz w:val="24"/>
          <w:szCs w:val="24"/>
        </w:rPr>
        <w:t>Contudo, caso haja orçamento e interesse público, o edital poderá ser suplementado, ou seja, caso haja saldo de recursos da PNAB oriundo de outros editais ou rendimentos, as vagas podem ser ampliadas.</w:t>
      </w:r>
    </w:p>
    <w:p>
      <w:pPr>
        <w:pStyle w:val="Normal"/>
        <w:spacing w:lineRule="auto" w:line="276" w:before="120" w:after="120"/>
        <w:ind w:left="360" w:right="120"/>
        <w:jc w:val="both"/>
        <w:rPr>
          <w:rFonts w:cs="Aptos"/>
          <w:color w:val="000000"/>
          <w:sz w:val="24"/>
          <w:szCs w:val="24"/>
        </w:rPr>
      </w:pPr>
      <w:r>
        <w:rPr>
          <w:rFonts w:cs="Aptos"/>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Valor total do edital</w:t>
      </w:r>
    </w:p>
    <w:p>
      <w:pPr>
        <w:pStyle w:val="Normal"/>
        <w:spacing w:lineRule="auto" w:line="276" w:before="120" w:after="120"/>
        <w:ind w:right="120"/>
        <w:jc w:val="both"/>
        <w:rPr>
          <w:rFonts w:cs="Aptos"/>
          <w:color w:val="000000"/>
          <w:sz w:val="24"/>
          <w:szCs w:val="24"/>
        </w:rPr>
      </w:pPr>
      <w:r>
        <w:rPr>
          <w:rFonts w:cs="Aptos"/>
          <w:color w:val="000000"/>
          <w:sz w:val="24"/>
          <w:szCs w:val="24"/>
        </w:rPr>
        <w:t>Cada projeto receberá o valor descrito no Anexo I.</w:t>
      </w:r>
    </w:p>
    <w:p>
      <w:pPr>
        <w:pStyle w:val="Normal"/>
        <w:spacing w:lineRule="auto" w:line="276" w:before="120" w:after="120"/>
        <w:ind w:right="120"/>
        <w:jc w:val="both"/>
        <w:rPr/>
      </w:pPr>
      <w:r>
        <w:rPr>
          <w:rFonts w:cs="Aptos"/>
          <w:color w:val="000000"/>
          <w:sz w:val="24"/>
          <w:szCs w:val="24"/>
        </w:rPr>
        <w:t xml:space="preserve">O </w:t>
      </w:r>
      <w:r>
        <w:rPr>
          <w:rFonts w:cs="Aptos"/>
          <w:b/>
          <w:bCs/>
          <w:color w:val="000000"/>
          <w:sz w:val="24"/>
          <w:szCs w:val="24"/>
        </w:rPr>
        <w:t>valor total</w:t>
      </w:r>
      <w:r>
        <w:rPr>
          <w:rFonts w:cs="Aptos"/>
          <w:color w:val="000000"/>
          <w:sz w:val="24"/>
          <w:szCs w:val="24"/>
        </w:rPr>
        <w:t xml:space="preserve"> deste edital é de </w:t>
      </w:r>
      <w:r>
        <w:rPr>
          <w:rFonts w:cs="Aptos"/>
          <w:b/>
          <w:bCs/>
          <w:color w:val="000000"/>
          <w:sz w:val="24"/>
          <w:szCs w:val="24"/>
        </w:rPr>
        <w:t>R$ 30.200,00</w:t>
      </w:r>
      <w:r>
        <w:rPr>
          <w:rFonts w:cs="Aptos"/>
          <w:color w:val="000000"/>
          <w:sz w:val="24"/>
          <w:szCs w:val="24"/>
        </w:rPr>
        <w:t xml:space="preserve"> (trinta mil e duzentos reais)</w:t>
      </w:r>
    </w:p>
    <w:p>
      <w:pPr>
        <w:pStyle w:val="Normal"/>
        <w:spacing w:lineRule="auto" w:line="276" w:before="120" w:after="120"/>
        <w:ind w:right="120"/>
        <w:jc w:val="both"/>
        <w:rPr>
          <w:rFonts w:cs="Aptos"/>
          <w:color w:val="000000"/>
          <w:sz w:val="24"/>
          <w:szCs w:val="24"/>
        </w:rPr>
      </w:pPr>
      <w:r>
        <w:rPr>
          <w:rFonts w:cs="Aptos"/>
          <w:color w:val="000000"/>
          <w:sz w:val="24"/>
          <w:szCs w:val="24"/>
        </w:rPr>
        <w:t>A despesa correrá à conta da seguinte Dotação Orçamentária:</w:t>
      </w:r>
    </w:p>
    <w:p>
      <w:pPr>
        <w:pStyle w:val="Normal"/>
        <w:spacing w:lineRule="auto" w:line="276" w:before="0" w:after="0"/>
        <w:ind w:left="1077"/>
        <w:jc w:val="both"/>
        <w:rPr>
          <w:sz w:val="24"/>
          <w:szCs w:val="24"/>
          <w:shd w:fill="FFFFFF" w:val="clear"/>
        </w:rPr>
      </w:pPr>
      <w:r>
        <w:rPr>
          <w:b/>
          <w:bCs/>
          <w:sz w:val="24"/>
          <w:szCs w:val="24"/>
          <w:shd w:fill="FFFFFF" w:val="clear"/>
        </w:rPr>
        <w:t>Órgão...............</w:t>
      </w:r>
      <w:r>
        <w:rPr>
          <w:sz w:val="24"/>
          <w:szCs w:val="24"/>
          <w:shd w:fill="FFFFFF" w:val="clear"/>
        </w:rPr>
        <w:t>:  06    Sec Mun Educacao Cultura Esporte Turismo</w:t>
      </w:r>
    </w:p>
    <w:p>
      <w:pPr>
        <w:pStyle w:val="Normal"/>
        <w:spacing w:lineRule="auto" w:line="276" w:before="0" w:after="0"/>
        <w:ind w:left="1077"/>
        <w:jc w:val="both"/>
        <w:rPr>
          <w:sz w:val="24"/>
          <w:szCs w:val="24"/>
          <w:shd w:fill="FFFFFF" w:val="clear"/>
        </w:rPr>
      </w:pPr>
      <w:r>
        <w:rPr>
          <w:b/>
          <w:bCs/>
          <w:sz w:val="24"/>
          <w:szCs w:val="24"/>
          <w:shd w:fill="FFFFFF" w:val="clear"/>
        </w:rPr>
        <w:t>Unidade Orçamentária:</w:t>
      </w:r>
      <w:r>
        <w:rPr>
          <w:sz w:val="24"/>
          <w:szCs w:val="24"/>
          <w:shd w:fill="FFFFFF" w:val="clear"/>
        </w:rPr>
        <w:t xml:space="preserve">  06.03 Setor de Educacao Cultura e Turismo </w:t>
      </w:r>
    </w:p>
    <w:p>
      <w:pPr>
        <w:pStyle w:val="Normal"/>
        <w:spacing w:lineRule="auto" w:line="276" w:before="0" w:after="0"/>
        <w:ind w:left="1077"/>
        <w:jc w:val="both"/>
        <w:rPr>
          <w:sz w:val="24"/>
          <w:szCs w:val="24"/>
          <w:shd w:fill="FFFFFF" w:val="clear"/>
        </w:rPr>
      </w:pPr>
      <w:r>
        <w:rPr>
          <w:b/>
          <w:bCs/>
          <w:sz w:val="24"/>
          <w:szCs w:val="24"/>
          <w:shd w:fill="FFFFFF" w:val="clear"/>
        </w:rPr>
        <w:t>133920054.2.052000</w:t>
      </w:r>
      <w:r>
        <w:rPr>
          <w:sz w:val="24"/>
          <w:szCs w:val="24"/>
          <w:shd w:fill="FFFFFF" w:val="clear"/>
        </w:rPr>
        <w:t xml:space="preserve"> Manutencao das Atividades de Cultura e Tradicionalismo                                                           </w:t>
        <w:br/>
      </w:r>
      <w:r>
        <w:rPr>
          <w:b/>
          <w:bCs/>
          <w:sz w:val="24"/>
          <w:szCs w:val="24"/>
          <w:shd w:fill="FFFFFF" w:val="clear"/>
        </w:rPr>
        <w:t>3.3.90.31.00.00.00</w:t>
      </w:r>
      <w:r>
        <w:rPr>
          <w:sz w:val="24"/>
          <w:szCs w:val="24"/>
          <w:shd w:fill="FFFFFF" w:val="clear"/>
        </w:rPr>
        <w:t xml:space="preserve">  PREMIACOES CLT., ART., C., DESP. E OUTRA</w:t>
      </w:r>
    </w:p>
    <w:p>
      <w:pPr>
        <w:pStyle w:val="Normal"/>
        <w:spacing w:lineRule="auto" w:line="276" w:before="0" w:after="0"/>
        <w:ind w:left="1077"/>
        <w:jc w:val="both"/>
        <w:rPr>
          <w:sz w:val="24"/>
          <w:szCs w:val="24"/>
          <w:shd w:fill="FFFFFF" w:val="clear"/>
        </w:rPr>
      </w:pPr>
      <w:r>
        <w:rPr>
          <w:b/>
          <w:bCs/>
          <w:sz w:val="24"/>
          <w:szCs w:val="24"/>
          <w:shd w:fill="FFFFFF" w:val="clear"/>
        </w:rPr>
        <w:t>Fonte....:</w:t>
      </w:r>
      <w:r>
        <w:rPr>
          <w:sz w:val="24"/>
          <w:szCs w:val="24"/>
          <w:shd w:fill="FFFFFF" w:val="clear"/>
        </w:rPr>
        <w:t xml:space="preserve">   1719 Transferências da Politica Nacional Aldi</w:t>
      </w:r>
    </w:p>
    <w:p>
      <w:pPr>
        <w:pStyle w:val="Normal"/>
        <w:spacing w:lineRule="auto" w:line="276" w:before="0" w:after="0"/>
        <w:ind w:left="1077"/>
        <w:jc w:val="both"/>
        <w:rPr>
          <w:sz w:val="24"/>
          <w:szCs w:val="24"/>
          <w:shd w:fill="FFFFFF" w:val="clear"/>
        </w:rPr>
      </w:pPr>
      <w:r>
        <w:rPr>
          <w:b/>
          <w:bCs/>
          <w:sz w:val="24"/>
          <w:szCs w:val="24"/>
          <w:shd w:fill="FFFFFF" w:val="clear"/>
        </w:rPr>
        <w:t xml:space="preserve">Desdobram: </w:t>
      </w:r>
      <w:r>
        <w:rPr>
          <w:sz w:val="24"/>
          <w:szCs w:val="24"/>
          <w:shd w:fill="FFFFFF" w:val="clear"/>
        </w:rPr>
        <w:t xml:space="preserve"> 1186 Fundo Nac Cultura - Lei Aldir Blanc 2</w:t>
      </w:r>
    </w:p>
    <w:p>
      <w:pPr>
        <w:pStyle w:val="Normal"/>
        <w:spacing w:lineRule="auto" w:line="276" w:before="0" w:after="0"/>
        <w:ind w:left="1077"/>
        <w:jc w:val="both"/>
        <w:rPr>
          <w:rFonts w:cs="Aptos"/>
          <w:color w:val="FF0000"/>
          <w:sz w:val="24"/>
          <w:szCs w:val="24"/>
        </w:rPr>
      </w:pPr>
      <w:r>
        <w:rPr>
          <w:rFonts w:cs="Aptos"/>
          <w:color w:val="FF0000"/>
          <w:sz w:val="24"/>
          <w:szCs w:val="24"/>
        </w:rPr>
      </w:r>
    </w:p>
    <w:p>
      <w:pPr>
        <w:pStyle w:val="Normal"/>
        <w:spacing w:lineRule="auto" w:line="276" w:before="120" w:after="120"/>
        <w:ind w:right="120"/>
        <w:jc w:val="both"/>
        <w:rPr>
          <w:rFonts w:cs="Aptos"/>
          <w:color w:val="000000"/>
          <w:sz w:val="24"/>
          <w:szCs w:val="24"/>
        </w:rPr>
      </w:pPr>
      <w:r>
        <w:rPr>
          <w:rFonts w:cs="Aptos"/>
          <w:color w:val="000000"/>
          <w:sz w:val="24"/>
          <w:szCs w:val="24"/>
        </w:rPr>
        <w:t>Sobre o valor total repassado pelo Município de Ibiraiaras ao agente cultural, não incidirá Imposto de Renda, Imposto Sobre Serviços – ISS, e eventuais impostos próprios da contratação de serviços.</w:t>
      </w:r>
    </w:p>
    <w:p>
      <w:pPr>
        <w:pStyle w:val="Normal"/>
        <w:spacing w:lineRule="auto" w:line="276" w:before="120" w:after="120"/>
        <w:ind w:right="120"/>
        <w:jc w:val="both"/>
        <w:rPr>
          <w:rFonts w:cs="Aptos"/>
          <w:color w:val="FF0000"/>
          <w:sz w:val="24"/>
          <w:szCs w:val="24"/>
        </w:rPr>
      </w:pPr>
      <w:r>
        <w:rPr>
          <w:rFonts w:cs="Aptos"/>
          <w:color w:val="FF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Prazo de inscrição</w:t>
      </w:r>
    </w:p>
    <w:p>
      <w:pPr>
        <w:pStyle w:val="Normal"/>
        <w:spacing w:lineRule="auto" w:line="276" w:before="120" w:after="120"/>
        <w:ind w:right="120"/>
        <w:jc w:val="both"/>
        <w:rPr>
          <w:color w:val="000000"/>
        </w:rPr>
      </w:pPr>
      <w:r>
        <w:rPr>
          <w:rFonts w:cs="Aptos"/>
          <w:color w:val="000000"/>
          <w:sz w:val="24"/>
          <w:szCs w:val="24"/>
        </w:rPr>
        <w:t xml:space="preserve">Das 8h30min do dia 17/04/2026 às 17h30min do dia 30/04/2026. </w:t>
      </w:r>
    </w:p>
    <w:p>
      <w:pPr>
        <w:pStyle w:val="Normal"/>
        <w:spacing w:lineRule="auto" w:line="276" w:before="120" w:after="120"/>
        <w:ind w:right="120"/>
        <w:jc w:val="both"/>
        <w:rPr>
          <w:rFonts w:cs="Aptos"/>
          <w:color w:val="000000"/>
          <w:sz w:val="24"/>
          <w:szCs w:val="24"/>
        </w:rPr>
      </w:pPr>
      <w:r>
        <w:rPr>
          <w:rFonts w:cs="Aptos"/>
          <w:color w:val="000000"/>
          <w:sz w:val="24"/>
          <w:szCs w:val="24"/>
        </w:rPr>
        <w:t>As inscrições serão realizadas conforme orientações descritas no item 4 deste edital.</w:t>
      </w:r>
    </w:p>
    <w:p>
      <w:pPr>
        <w:pStyle w:val="Normal"/>
        <w:spacing w:lineRule="auto" w:line="276"/>
        <w:rPr>
          <w:rFonts w:cs="Aptos"/>
          <w:color w:val="FF0000"/>
          <w:sz w:val="24"/>
          <w:szCs w:val="24"/>
        </w:rPr>
      </w:pPr>
      <w:r>
        <w:rPr>
          <w:rFonts w:cs="Aptos"/>
          <w:color w:val="FF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Quem pode participar</w:t>
      </w:r>
    </w:p>
    <w:p>
      <w:pPr>
        <w:pStyle w:val="Normal"/>
        <w:spacing w:lineRule="auto" w:line="276" w:before="120" w:after="120"/>
        <w:ind w:right="120"/>
        <w:jc w:val="both"/>
        <w:rPr/>
      </w:pPr>
      <w:r>
        <w:rPr>
          <w:rFonts w:cs="Aptos"/>
          <w:color w:val="000000"/>
          <w:sz w:val="24"/>
          <w:szCs w:val="24"/>
        </w:rPr>
        <w:t>Pode se inscrever no Edital qualquer agente cultural que atua ou reside no</w:t>
      </w:r>
      <w:r>
        <w:rPr>
          <w:rFonts w:cs="Aptos"/>
          <w:color w:val="FF0000"/>
          <w:sz w:val="24"/>
          <w:szCs w:val="24"/>
        </w:rPr>
        <w:t> </w:t>
      </w:r>
      <w:r>
        <w:rPr>
          <w:rFonts w:cs="Aptos"/>
          <w:color w:val="000000"/>
          <w:sz w:val="24"/>
          <w:szCs w:val="24"/>
        </w:rPr>
        <w:t>Município de Ibiraiaras há pelo menos 01 ano. </w:t>
      </w:r>
    </w:p>
    <w:p>
      <w:pPr>
        <w:pStyle w:val="Normal"/>
        <w:spacing w:lineRule="auto" w:line="276" w:before="0" w:after="0"/>
        <w:jc w:val="both"/>
        <w:rPr>
          <w:b/>
          <w:color w:val="000000"/>
          <w:sz w:val="24"/>
          <w:szCs w:val="24"/>
        </w:rPr>
      </w:pPr>
      <w:r>
        <w:rPr>
          <w:b/>
          <w:color w:val="000000"/>
          <w:sz w:val="24"/>
          <w:szCs w:val="24"/>
        </w:rPr>
      </w:r>
    </w:p>
    <w:p>
      <w:pPr>
        <w:pStyle w:val="Normal"/>
        <w:spacing w:lineRule="auto" w:line="276" w:before="0" w:after="0"/>
        <w:jc w:val="both"/>
        <w:rPr/>
      </w:pPr>
      <w:r>
        <w:rPr>
          <w:b/>
          <w:color w:val="000000"/>
          <w:sz w:val="24"/>
          <w:szCs w:val="24"/>
        </w:rPr>
        <w:t>Agente Cultural</w:t>
      </w:r>
      <w:r>
        <w:rPr>
          <w:color w:val="000000"/>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pPr>
        <w:pStyle w:val="Normal"/>
        <w:spacing w:lineRule="auto" w:line="276" w:before="120" w:after="120"/>
        <w:ind w:right="120"/>
        <w:jc w:val="both"/>
        <w:rPr>
          <w:rFonts w:cs="Aptos"/>
          <w:color w:val="000000"/>
          <w:sz w:val="24"/>
          <w:szCs w:val="24"/>
        </w:rPr>
      </w:pPr>
      <w:r>
        <w:rPr>
          <w:rFonts w:cs="Aptos"/>
          <w:color w:val="000000"/>
          <w:sz w:val="24"/>
          <w:szCs w:val="24"/>
        </w:rPr>
        <w:t>O agente cultural pode ser:</w:t>
      </w:r>
    </w:p>
    <w:p>
      <w:pPr>
        <w:pStyle w:val="Normal"/>
        <w:spacing w:lineRule="auto" w:line="276" w:before="120" w:after="120"/>
        <w:ind w:right="120"/>
        <w:jc w:val="both"/>
        <w:rPr>
          <w:rFonts w:cs="Aptos"/>
          <w:color w:val="000000"/>
          <w:sz w:val="24"/>
          <w:szCs w:val="24"/>
        </w:rPr>
      </w:pPr>
      <w:r>
        <w:rPr>
          <w:rFonts w:cs="Aptos"/>
          <w:color w:val="000000"/>
          <w:sz w:val="24"/>
          <w:szCs w:val="24"/>
        </w:rPr>
        <w:t>I - Pessoa física ou Microempreendedor Individual (MEI)</w:t>
      </w:r>
    </w:p>
    <w:p>
      <w:pPr>
        <w:pStyle w:val="Normal"/>
        <w:spacing w:lineRule="auto" w:line="276" w:before="120" w:after="120"/>
        <w:ind w:right="120"/>
        <w:jc w:val="both"/>
        <w:rPr>
          <w:rFonts w:cs="Aptos"/>
          <w:color w:val="000000"/>
          <w:sz w:val="24"/>
          <w:szCs w:val="24"/>
        </w:rPr>
      </w:pPr>
      <w:r>
        <w:rPr>
          <w:rFonts w:cs="Aptos"/>
          <w:color w:val="000000"/>
          <w:sz w:val="24"/>
          <w:szCs w:val="24"/>
        </w:rPr>
        <w:t>II - Pessoa jurídica com fins lucrativos (Ex.: empresa de pequeno porte, empresa de grande porte, etc)</w:t>
      </w:r>
    </w:p>
    <w:p>
      <w:pPr>
        <w:pStyle w:val="Normal"/>
        <w:spacing w:lineRule="auto" w:line="276" w:before="120" w:after="120"/>
        <w:ind w:right="120"/>
        <w:jc w:val="both"/>
        <w:rPr>
          <w:rFonts w:cs="Aptos"/>
          <w:color w:val="000000"/>
          <w:sz w:val="24"/>
          <w:szCs w:val="24"/>
        </w:rPr>
      </w:pPr>
      <w:r>
        <w:rPr>
          <w:rFonts w:cs="Aptos"/>
          <w:color w:val="000000"/>
          <w:sz w:val="24"/>
          <w:szCs w:val="24"/>
        </w:rPr>
        <w:t>III - Pessoa jurídica sem fins lucrativos (Ex.: Associação, Fundação, Cooperativa, etc)</w:t>
      </w:r>
    </w:p>
    <w:p>
      <w:pPr>
        <w:pStyle w:val="Normal"/>
        <w:spacing w:lineRule="auto" w:line="276" w:before="120" w:after="120"/>
        <w:ind w:right="120"/>
        <w:jc w:val="both"/>
        <w:rPr>
          <w:rFonts w:cs="Aptos"/>
          <w:color w:val="000000"/>
          <w:sz w:val="24"/>
          <w:szCs w:val="24"/>
        </w:rPr>
      </w:pPr>
      <w:r>
        <w:rPr>
          <w:rFonts w:cs="Aptos"/>
          <w:color w:val="000000"/>
          <w:sz w:val="24"/>
          <w:szCs w:val="24"/>
        </w:rPr>
        <w:t>IV - Coletivo/Grupo sem CNPJ representado por pessoa física.</w:t>
      </w:r>
    </w:p>
    <w:p>
      <w:pPr>
        <w:pStyle w:val="Normal"/>
        <w:spacing w:lineRule="auto" w:line="276" w:before="120" w:after="120"/>
        <w:ind w:right="120"/>
        <w:jc w:val="both"/>
        <w:rPr>
          <w:color w:themeColor="dark1" w:val="000000"/>
          <w:sz w:val="24"/>
          <w:szCs w:val="24"/>
        </w:rPr>
      </w:pPr>
      <w:r>
        <w:rPr>
          <w:color w:themeColor="dark1" w:val="000000"/>
          <w:sz w:val="24"/>
          <w:szCs w:val="24"/>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VII.</w:t>
      </w:r>
    </w:p>
    <w:p>
      <w:pPr>
        <w:pStyle w:val="Normal"/>
        <w:spacing w:lineRule="auto" w:line="276" w:before="120" w:after="120"/>
        <w:ind w:left="120" w:right="120"/>
        <w:jc w:val="both"/>
        <w:rPr>
          <w:rFonts w:cs="Aptos"/>
          <w:color w:val="000000"/>
          <w:sz w:val="24"/>
          <w:szCs w:val="24"/>
        </w:rPr>
      </w:pPr>
      <w:r>
        <w:rPr>
          <w:rFonts w:cs="Aptos"/>
          <w:color w:val="000000"/>
          <w:sz w:val="24"/>
          <w:szCs w:val="24"/>
        </w:rPr>
        <w:t> </w:t>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Quem NÃO pode participar</w:t>
      </w:r>
    </w:p>
    <w:p>
      <w:pPr>
        <w:pStyle w:val="Normal"/>
        <w:spacing w:lineRule="auto" w:line="276" w:before="120" w:after="120"/>
        <w:ind w:right="120"/>
        <w:jc w:val="both"/>
        <w:rPr>
          <w:rFonts w:cs="Aptos"/>
          <w:color w:val="000000"/>
          <w:sz w:val="24"/>
          <w:szCs w:val="24"/>
        </w:rPr>
      </w:pPr>
      <w:r>
        <w:rPr>
          <w:rFonts w:cs="Aptos"/>
          <w:color w:val="000000"/>
          <w:sz w:val="24"/>
          <w:szCs w:val="24"/>
        </w:rPr>
        <w:t>Não pode se inscrever neste Edital, agentes culturais que: </w:t>
      </w:r>
    </w:p>
    <w:p>
      <w:pPr>
        <w:pStyle w:val="Normal"/>
        <w:spacing w:lineRule="auto" w:line="276" w:before="120" w:after="120"/>
        <w:ind w:right="120"/>
        <w:jc w:val="both"/>
        <w:rPr>
          <w:rFonts w:cs="Aptos"/>
          <w:color w:val="000000"/>
          <w:sz w:val="24"/>
          <w:szCs w:val="24"/>
        </w:rPr>
      </w:pPr>
      <w:r>
        <w:rPr>
          <w:rFonts w:cs="Aptos"/>
          <w:color w:val="000000"/>
          <w:sz w:val="24"/>
          <w:szCs w:val="24"/>
        </w:rPr>
        <w:t>I - tenham participado diretamente da etapa de elaboração do edital, da etapa de análise de propostas ou da etapa de julgamento de recursos;</w:t>
      </w:r>
    </w:p>
    <w:p>
      <w:pPr>
        <w:pStyle w:val="Normal"/>
        <w:spacing w:lineRule="auto" w:line="276" w:before="120" w:after="120"/>
        <w:ind w:right="120"/>
        <w:jc w:val="both"/>
        <w:rPr>
          <w:rFonts w:cs="Aptos"/>
          <w:color w:val="000000"/>
          <w:sz w:val="24"/>
          <w:szCs w:val="24"/>
        </w:rPr>
      </w:pPr>
      <w:r>
        <w:rPr>
          <w:rFonts w:cs="Aptos"/>
          <w:color w:val="000000"/>
          <w:sz w:val="24"/>
          <w:szCs w:val="24"/>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pPr>
        <w:pStyle w:val="Normal"/>
        <w:spacing w:lineRule="auto" w:line="276" w:before="120" w:after="120"/>
        <w:ind w:right="120"/>
        <w:jc w:val="both"/>
        <w:rPr>
          <w:rFonts w:cs="Aptos"/>
          <w:color w:val="000000"/>
          <w:sz w:val="24"/>
          <w:szCs w:val="24"/>
        </w:rPr>
      </w:pPr>
      <w:r>
        <w:rPr>
          <w:rFonts w:cs="Aptos"/>
          <w:color w:val="000000"/>
          <w:sz w:val="24"/>
          <w:szCs w:val="24"/>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pPr>
        <w:pStyle w:val="Normal"/>
        <w:spacing w:lineRule="auto" w:line="276" w:before="120" w:after="120"/>
        <w:ind w:right="120"/>
        <w:jc w:val="both"/>
        <w:rPr/>
      </w:pPr>
      <w:r>
        <w:rPr>
          <w:rFonts w:cs="Aptos"/>
          <w:b/>
          <w:color w:val="000000"/>
          <w:sz w:val="24"/>
          <w:szCs w:val="24"/>
        </w:rPr>
        <w:t xml:space="preserve">Atenção! </w:t>
      </w:r>
      <w:r>
        <w:rPr>
          <w:rFonts w:cs="Aptos"/>
          <w:color w:val="000000"/>
          <w:sz w:val="24"/>
          <w:szCs w:val="24"/>
        </w:rPr>
        <w:t xml:space="preserve">O agente cultural que </w:t>
      </w:r>
      <w:r>
        <w:rPr>
          <w:rFonts w:cs="Aptos"/>
          <w:sz w:val="24"/>
          <w:szCs w:val="24"/>
        </w:rPr>
        <w:t>integrar o Conselho</w:t>
      </w:r>
      <w:r>
        <w:rPr>
          <w:rFonts w:cs="Aptos"/>
          <w:color w:val="000000"/>
          <w:sz w:val="24"/>
          <w:szCs w:val="24"/>
        </w:rPr>
        <w:t xml:space="preserve"> de Cultura somente ficará impossibilitado de concorrer neste Edital quando se enquadrar nas vedações previstas no item 2.6. </w:t>
      </w:r>
    </w:p>
    <w:p>
      <w:pPr>
        <w:pStyle w:val="Normal"/>
        <w:spacing w:lineRule="auto" w:line="276" w:before="120" w:after="120"/>
        <w:ind w:right="120"/>
        <w:jc w:val="both"/>
        <w:rPr/>
      </w:pPr>
      <w:r>
        <w:rPr>
          <w:rFonts w:cs="Aptos"/>
          <w:b/>
          <w:color w:val="000000"/>
          <w:sz w:val="24"/>
          <w:szCs w:val="24"/>
        </w:rPr>
        <w:t>Atenção!</w:t>
      </w:r>
      <w:r>
        <w:rPr>
          <w:rFonts w:cs="Aptos"/>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pPr>
        <w:pStyle w:val="Normal"/>
        <w:spacing w:lineRule="auto" w:line="276" w:before="120" w:after="120"/>
        <w:ind w:right="120"/>
        <w:jc w:val="both"/>
        <w:rPr/>
      </w:pPr>
      <w:r>
        <w:rPr>
          <w:rFonts w:cs="Aptos"/>
          <w:b/>
          <w:color w:val="000000"/>
          <w:sz w:val="24"/>
          <w:szCs w:val="24"/>
        </w:rPr>
        <w:t xml:space="preserve">Atenção! </w:t>
      </w:r>
      <w:r>
        <w:rPr>
          <w:rFonts w:cs="Aptos"/>
          <w:color w:val="000000"/>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pPr>
        <w:pStyle w:val="Normal"/>
        <w:spacing w:lineRule="auto" w:line="276" w:before="120" w:after="120"/>
        <w:ind w:right="120"/>
        <w:jc w:val="both"/>
        <w:rPr>
          <w:rFonts w:cs="Aptos"/>
          <w:b/>
          <w:color w:val="000000"/>
          <w:sz w:val="24"/>
          <w:szCs w:val="24"/>
        </w:rPr>
      </w:pPr>
      <w:r>
        <w:rPr>
          <w:rFonts w:cs="Aptos"/>
          <w:b/>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Quantos projetos cada agente cultural pode apresentar neste edital</w:t>
      </w:r>
    </w:p>
    <w:p>
      <w:pPr>
        <w:pStyle w:val="Normal"/>
        <w:spacing w:lineRule="auto" w:line="276" w:before="120" w:after="120"/>
        <w:ind w:right="120"/>
        <w:jc w:val="both"/>
        <w:rPr>
          <w:rFonts w:cs="Aptos"/>
          <w:color w:val="000000"/>
          <w:sz w:val="24"/>
          <w:szCs w:val="24"/>
        </w:rPr>
      </w:pPr>
      <w:r>
        <w:rPr>
          <w:rFonts w:cs="Aptos"/>
          <w:color w:val="000000"/>
          <w:sz w:val="24"/>
          <w:szCs w:val="24"/>
        </w:rPr>
        <w:t>Cada agente cultural poderá concorrer neste edital com apenas 01 projeto inscrito.</w:t>
      </w:r>
    </w:p>
    <w:p>
      <w:pPr>
        <w:pStyle w:val="Normal"/>
        <w:spacing w:lineRule="auto" w:line="276" w:before="120" w:after="120"/>
        <w:ind w:right="120"/>
        <w:jc w:val="both"/>
        <w:rPr>
          <w:rFonts w:cs="Aptos"/>
          <w:color w:val="FF0000"/>
          <w:sz w:val="24"/>
          <w:szCs w:val="24"/>
        </w:rPr>
      </w:pPr>
      <w:r>
        <w:rPr>
          <w:rFonts w:cs="Aptos"/>
          <w:color w:val="FF0000"/>
          <w:sz w:val="24"/>
          <w:szCs w:val="24"/>
        </w:rPr>
      </w:r>
    </w:p>
    <w:p>
      <w:pPr>
        <w:pStyle w:val="Normal"/>
        <w:numPr>
          <w:ilvl w:val="0"/>
          <w:numId w:val="1"/>
        </w:numPr>
        <w:spacing w:lineRule="auto" w:line="276" w:before="120" w:after="120"/>
        <w:ind w:hanging="360" w:left="720" w:right="120"/>
        <w:jc w:val="both"/>
        <w:rPr>
          <w:rFonts w:cs="Aptos"/>
          <w:b/>
          <w:color w:val="000000"/>
          <w:sz w:val="24"/>
          <w:szCs w:val="24"/>
        </w:rPr>
      </w:pPr>
      <w:r>
        <w:rPr>
          <w:rFonts w:cs="Aptos"/>
          <w:b/>
          <w:color w:val="000000"/>
          <w:sz w:val="24"/>
          <w:szCs w:val="24"/>
        </w:rPr>
        <w:t>ETAPAS</w:t>
      </w:r>
    </w:p>
    <w:p>
      <w:pPr>
        <w:pStyle w:val="Normal"/>
        <w:spacing w:lineRule="auto" w:line="276" w:before="120" w:after="120"/>
        <w:ind w:right="120"/>
        <w:jc w:val="both"/>
        <w:rPr>
          <w:rFonts w:cs="Aptos"/>
          <w:color w:val="000000"/>
          <w:sz w:val="24"/>
          <w:szCs w:val="24"/>
        </w:rPr>
      </w:pPr>
      <w:r>
        <w:rPr>
          <w:rFonts w:cs="Aptos"/>
          <w:color w:val="000000"/>
          <w:sz w:val="24"/>
          <w:szCs w:val="24"/>
        </w:rPr>
        <w:t>Este edital é composto pelas seguintes etapas:</w:t>
      </w:r>
    </w:p>
    <w:p>
      <w:pPr>
        <w:pStyle w:val="Normal"/>
        <w:numPr>
          <w:ilvl w:val="0"/>
          <w:numId w:val="3"/>
        </w:numPr>
        <w:spacing w:lineRule="auto" w:line="276" w:before="120" w:after="120"/>
        <w:ind w:hanging="360" w:left="720" w:right="120"/>
        <w:jc w:val="both"/>
        <w:rPr/>
      </w:pPr>
      <w:r>
        <w:rPr>
          <w:rFonts w:cs="Aptos"/>
          <w:b/>
          <w:color w:val="000000"/>
          <w:sz w:val="24"/>
          <w:szCs w:val="24"/>
        </w:rPr>
        <w:t xml:space="preserve">Inscrições – </w:t>
      </w:r>
      <w:r>
        <w:rPr>
          <w:rFonts w:cs="Aptos"/>
          <w:color w:val="000000"/>
          <w:sz w:val="24"/>
          <w:szCs w:val="24"/>
        </w:rPr>
        <w:t>etapa de apresentação dos projetos pelos agentes culturais.</w:t>
      </w:r>
    </w:p>
    <w:p>
      <w:pPr>
        <w:pStyle w:val="Normal"/>
        <w:numPr>
          <w:ilvl w:val="0"/>
          <w:numId w:val="3"/>
        </w:numPr>
        <w:spacing w:lineRule="auto" w:line="276" w:before="120" w:after="120"/>
        <w:ind w:hanging="360" w:left="720" w:right="120"/>
        <w:jc w:val="both"/>
        <w:rPr/>
      </w:pPr>
      <w:r>
        <w:rPr>
          <w:rFonts w:cs="Aptos"/>
          <w:b/>
          <w:color w:val="000000"/>
          <w:sz w:val="24"/>
          <w:szCs w:val="24"/>
        </w:rPr>
        <w:t>Seleção –</w:t>
      </w:r>
      <w:r>
        <w:rPr>
          <w:rFonts w:cs="Aptos"/>
          <w:color w:val="000000"/>
          <w:sz w:val="24"/>
          <w:szCs w:val="24"/>
        </w:rPr>
        <w:t xml:space="preserve"> etapa em que uma comissão analisa e seleciona os projetos.</w:t>
      </w:r>
    </w:p>
    <w:p>
      <w:pPr>
        <w:pStyle w:val="Normal"/>
        <w:numPr>
          <w:ilvl w:val="0"/>
          <w:numId w:val="3"/>
        </w:numPr>
        <w:spacing w:lineRule="auto" w:line="276" w:before="120" w:after="120"/>
        <w:ind w:hanging="360" w:left="720" w:right="120"/>
        <w:jc w:val="both"/>
        <w:rPr/>
      </w:pPr>
      <w:r>
        <w:rPr>
          <w:rFonts w:cs="Aptos"/>
          <w:b/>
          <w:color w:val="000000"/>
          <w:sz w:val="24"/>
          <w:szCs w:val="24"/>
        </w:rPr>
        <w:t>Habilitação –</w:t>
      </w:r>
      <w:r>
        <w:rPr>
          <w:rFonts w:cs="Aptos"/>
          <w:color w:val="000000"/>
          <w:sz w:val="24"/>
          <w:szCs w:val="24"/>
        </w:rPr>
        <w:t xml:space="preserve"> etapa em que os agentes culturais selecionados na etapa anterior serão convocados para apresentar documentos de habilitação.</w:t>
      </w:r>
    </w:p>
    <w:p>
      <w:pPr>
        <w:pStyle w:val="Normal"/>
        <w:numPr>
          <w:ilvl w:val="0"/>
          <w:numId w:val="3"/>
        </w:numPr>
        <w:spacing w:lineRule="auto" w:line="276" w:before="120" w:after="120"/>
        <w:ind w:hanging="360" w:left="720" w:right="120"/>
        <w:jc w:val="both"/>
        <w:rPr/>
      </w:pPr>
      <w:r>
        <w:rPr>
          <w:rFonts w:cs="Aptos"/>
          <w:b/>
          <w:color w:val="000000"/>
          <w:sz w:val="24"/>
          <w:szCs w:val="24"/>
        </w:rPr>
        <w:t xml:space="preserve">Assinatura do Termo de Execução Cultural </w:t>
      </w:r>
      <w:r>
        <w:rPr>
          <w:rFonts w:cs="Aptos"/>
          <w:color w:val="000000"/>
          <w:sz w:val="24"/>
          <w:szCs w:val="24"/>
        </w:rPr>
        <w:t>– etapa em que os agentes culturais habilitados serão convocados para assinar o Termo de Execução Cultural.</w:t>
      </w:r>
    </w:p>
    <w:p>
      <w:pPr>
        <w:pStyle w:val="Normal"/>
        <w:spacing w:lineRule="auto" w:line="276" w:before="120" w:after="120"/>
        <w:ind w:right="120"/>
        <w:jc w:val="both"/>
        <w:rPr>
          <w:rFonts w:cs="Aptos"/>
          <w:b/>
          <w:color w:val="000000"/>
          <w:sz w:val="24"/>
          <w:szCs w:val="24"/>
        </w:rPr>
      </w:pPr>
      <w:r>
        <w:rPr>
          <w:rFonts w:cs="Aptos"/>
          <w:b/>
          <w:color w:val="000000"/>
          <w:sz w:val="24"/>
          <w:szCs w:val="24"/>
        </w:rPr>
      </w:r>
    </w:p>
    <w:p>
      <w:pPr>
        <w:pStyle w:val="Normal"/>
        <w:numPr>
          <w:ilvl w:val="0"/>
          <w:numId w:val="1"/>
        </w:numPr>
        <w:spacing w:lineRule="auto" w:line="276" w:before="120" w:after="120"/>
        <w:ind w:hanging="360" w:left="720" w:right="120"/>
        <w:jc w:val="both"/>
        <w:rPr>
          <w:rFonts w:cs="Aptos"/>
          <w:b/>
          <w:color w:val="000000"/>
          <w:sz w:val="24"/>
          <w:szCs w:val="24"/>
        </w:rPr>
      </w:pPr>
      <w:r>
        <w:rPr>
          <w:rFonts w:cs="Aptos"/>
          <w:b/>
          <w:color w:val="000000"/>
          <w:sz w:val="24"/>
          <w:szCs w:val="24"/>
        </w:rPr>
        <w:t>INSCRIÇÕES</w:t>
      </w:r>
    </w:p>
    <w:p>
      <w:pPr>
        <w:pStyle w:val="Normal"/>
        <w:spacing w:lineRule="auto" w:line="276" w:before="120" w:after="120"/>
        <w:ind w:right="120"/>
        <w:jc w:val="both"/>
        <w:rPr>
          <w:rFonts w:cs="Aptos"/>
          <w:color w:val="000000"/>
          <w:sz w:val="24"/>
          <w:szCs w:val="24"/>
        </w:rPr>
      </w:pPr>
      <w:r>
        <w:rPr>
          <w:rFonts w:cs="Aptos"/>
          <w:color w:val="000000"/>
          <w:sz w:val="24"/>
          <w:szCs w:val="24"/>
        </w:rPr>
        <w:t xml:space="preserve">O agente cultural deve realizar a inscrição presencialmente, munido com a seguinte documentação obrigatória: </w:t>
      </w:r>
    </w:p>
    <w:p>
      <w:pPr>
        <w:pStyle w:val="Normal"/>
        <w:spacing w:lineRule="auto" w:line="276" w:before="120" w:after="120"/>
        <w:ind w:right="120"/>
        <w:jc w:val="both"/>
        <w:rPr>
          <w:color w:themeColor="dark1" w:val="000000"/>
          <w:sz w:val="24"/>
          <w:szCs w:val="24"/>
        </w:rPr>
      </w:pPr>
      <w:r>
        <w:rPr>
          <w:color w:themeColor="dark1" w:val="000000"/>
          <w:sz w:val="24"/>
          <w:szCs w:val="24"/>
        </w:rPr>
        <w:t>a) Formulário de inscrição (Anexo II)</w:t>
      </w:r>
    </w:p>
    <w:p>
      <w:pPr>
        <w:pStyle w:val="Normal"/>
        <w:spacing w:lineRule="auto" w:line="276" w:before="120" w:after="120"/>
        <w:ind w:right="120"/>
        <w:jc w:val="both"/>
        <w:rPr>
          <w:color w:themeColor="dark1" w:val="000000"/>
          <w:sz w:val="24"/>
          <w:szCs w:val="24"/>
        </w:rPr>
      </w:pPr>
      <w:r>
        <w:rPr>
          <w:color w:themeColor="dark1" w:val="000000"/>
          <w:sz w:val="24"/>
          <w:szCs w:val="24"/>
        </w:rPr>
        <w:t>b) Plano de Trabalho (projeto), conforme Anexo III; </w:t>
      </w:r>
    </w:p>
    <w:p>
      <w:pPr>
        <w:pStyle w:val="Normal"/>
        <w:spacing w:lineRule="auto" w:line="276" w:before="120" w:after="120"/>
        <w:ind w:right="120"/>
        <w:jc w:val="both"/>
        <w:rPr>
          <w:color w:themeColor="dark1" w:val="000000"/>
          <w:sz w:val="24"/>
          <w:szCs w:val="24"/>
        </w:rPr>
      </w:pPr>
      <w:r>
        <w:rPr>
          <w:color w:themeColor="dark1" w:val="000000"/>
          <w:sz w:val="24"/>
          <w:szCs w:val="24"/>
        </w:rPr>
        <w:t>c) Documentos específicos relacionados na categoria de apoio em que o projeto será inscrito conforme Anexo I, quando houver; </w:t>
      </w:r>
    </w:p>
    <w:p>
      <w:pPr>
        <w:pStyle w:val="Normal"/>
        <w:spacing w:lineRule="auto" w:line="276" w:before="120" w:after="120"/>
        <w:ind w:right="120"/>
        <w:jc w:val="both"/>
        <w:rPr>
          <w:color w:themeColor="dark1" w:val="000000"/>
          <w:sz w:val="24"/>
          <w:szCs w:val="24"/>
        </w:rPr>
      </w:pPr>
      <w:r>
        <w:rPr>
          <w:color w:themeColor="dark1" w:val="000000"/>
          <w:sz w:val="24"/>
          <w:szCs w:val="24"/>
        </w:rPr>
        <w:t>d) Autodeclaração étnico-racial ou de pessoa com deficiência, se for concorrer às cotas;</w:t>
      </w:r>
    </w:p>
    <w:p>
      <w:pPr>
        <w:pStyle w:val="Normal"/>
        <w:spacing w:lineRule="auto" w:line="276" w:before="120" w:after="120"/>
        <w:ind w:right="120"/>
        <w:jc w:val="both"/>
        <w:rPr>
          <w:color w:themeColor="dark1" w:val="000000"/>
          <w:sz w:val="24"/>
          <w:szCs w:val="24"/>
        </w:rPr>
      </w:pPr>
      <w:r>
        <w:rPr>
          <w:color w:themeColor="dark1" w:val="000000"/>
          <w:sz w:val="24"/>
          <w:szCs w:val="24"/>
        </w:rPr>
        <w:t>e) Declaração de representação, se for concorrer como um coletivo sem CNPJ; e</w:t>
      </w:r>
    </w:p>
    <w:p>
      <w:pPr>
        <w:pStyle w:val="Normal"/>
        <w:spacing w:lineRule="auto" w:line="276" w:before="120" w:after="120"/>
        <w:ind w:right="120"/>
        <w:jc w:val="both"/>
        <w:rPr/>
      </w:pPr>
      <w:r>
        <w:rPr>
          <w:color w:themeColor="dark1" w:val="000000"/>
          <w:sz w:val="24"/>
          <w:szCs w:val="24"/>
        </w:rPr>
        <w:t>f) Outros documentos que o agente cultural julgar necessário para auxiliar na avaliação do mérito cultural do projeto. </w:t>
      </w:r>
      <w:r>
        <w:rPr>
          <w:color w:val="FF0000"/>
          <w:sz w:val="24"/>
          <w:szCs w:val="24"/>
        </w:rPr>
        <w:t xml:space="preserve"> </w:t>
      </w:r>
    </w:p>
    <w:p>
      <w:pPr>
        <w:pStyle w:val="Normal"/>
        <w:spacing w:lineRule="auto" w:line="276" w:before="120" w:after="120"/>
        <w:ind w:right="120"/>
        <w:jc w:val="both"/>
        <w:rPr>
          <w:rFonts w:cs="Aptos"/>
          <w:color w:val="000000"/>
          <w:sz w:val="24"/>
          <w:szCs w:val="24"/>
        </w:rPr>
      </w:pPr>
      <w:r>
        <w:rPr>
          <w:rFonts w:cs="Aptos"/>
          <w:color w:val="000000"/>
          <w:sz w:val="24"/>
          <w:szCs w:val="24"/>
        </w:rPr>
      </w:r>
    </w:p>
    <w:p>
      <w:pPr>
        <w:pStyle w:val="Normal"/>
        <w:spacing w:lineRule="auto" w:line="276" w:before="120" w:after="120"/>
        <w:ind w:right="120"/>
        <w:jc w:val="both"/>
        <w:rPr/>
      </w:pPr>
      <w:r>
        <w:rPr>
          <w:rFonts w:cs="Aptos"/>
          <w:b/>
          <w:color w:val="000000"/>
          <w:sz w:val="24"/>
          <w:szCs w:val="24"/>
        </w:rPr>
        <w:t>Atenção!</w:t>
      </w:r>
      <w:r>
        <w:rPr>
          <w:rFonts w:cs="Aptos"/>
          <w:color w:val="000000"/>
          <w:sz w:val="24"/>
          <w:szCs w:val="24"/>
        </w:rPr>
        <w:t xml:space="preserve"> O agente cultural é responsável pelo envio dos documentos e pela qualidade visual, conteúdo dos arquivos e informações de seu projeto. </w:t>
      </w:r>
    </w:p>
    <w:p>
      <w:pPr>
        <w:pStyle w:val="Normal"/>
        <w:spacing w:lineRule="auto" w:line="276" w:before="120" w:after="120"/>
        <w:ind w:right="120"/>
        <w:jc w:val="both"/>
        <w:rPr/>
      </w:pPr>
      <w:r>
        <w:rPr>
          <w:rFonts w:cs="Aptos"/>
          <w:b/>
          <w:color w:val="000000"/>
          <w:sz w:val="24"/>
          <w:szCs w:val="24"/>
        </w:rPr>
        <w:t>Atenção!</w:t>
      </w:r>
      <w:r>
        <w:rPr>
          <w:rFonts w:cs="Aptos"/>
          <w:color w:val="000000"/>
          <w:sz w:val="24"/>
          <w:szCs w:val="24"/>
        </w:rPr>
        <w:t xml:space="preserve"> A inscrição implica no conhecimento e concordância dos termos e condições previstos neste Edital, na Lei 14.399/2022 (Política Nacional Aldir Blanc de Fomento à Cultura - PNAB), na Lei nº 14.903/2024 (Marco regulatório de fomento à cultura), no Decreto 11.740/2023 (Decreto PNAB) e no Decreto nº 11.453/2023 (Decreto de fomento).</w:t>
      </w:r>
    </w:p>
    <w:p>
      <w:pPr>
        <w:pStyle w:val="Normal"/>
        <w:spacing w:lineRule="auto" w:line="276" w:before="120" w:after="120"/>
        <w:ind w:right="120"/>
        <w:jc w:val="both"/>
        <w:rPr>
          <w:rFonts w:cs="Aptos"/>
          <w:color w:val="000000"/>
          <w:sz w:val="24"/>
          <w:szCs w:val="24"/>
        </w:rPr>
      </w:pPr>
      <w:r>
        <w:rPr>
          <w:rFonts w:cs="Aptos"/>
          <w:color w:val="000000"/>
          <w:sz w:val="24"/>
          <w:szCs w:val="24"/>
        </w:rPr>
      </w:r>
    </w:p>
    <w:p>
      <w:pPr>
        <w:pStyle w:val="Normal"/>
        <w:numPr>
          <w:ilvl w:val="0"/>
          <w:numId w:val="1"/>
        </w:numPr>
        <w:spacing w:lineRule="auto" w:line="276" w:before="120" w:after="120"/>
        <w:ind w:hanging="360" w:left="720" w:right="120"/>
        <w:jc w:val="both"/>
        <w:rPr>
          <w:rFonts w:cs="Aptos"/>
          <w:b/>
          <w:color w:val="000000"/>
          <w:sz w:val="24"/>
          <w:szCs w:val="24"/>
        </w:rPr>
      </w:pPr>
      <w:r>
        <w:rPr>
          <w:rFonts w:cs="Aptos"/>
          <w:b/>
          <w:color w:val="000000"/>
          <w:sz w:val="24"/>
          <w:szCs w:val="24"/>
        </w:rPr>
        <w:t>COTAS</w:t>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Categoria de cotas</w:t>
      </w:r>
    </w:p>
    <w:p>
      <w:pPr>
        <w:pStyle w:val="Normal"/>
        <w:spacing w:lineRule="auto" w:line="276" w:before="120" w:after="120"/>
        <w:ind w:right="120"/>
        <w:jc w:val="both"/>
        <w:rPr>
          <w:rFonts w:cs="Aptos"/>
          <w:color w:val="000000"/>
          <w:sz w:val="24"/>
          <w:szCs w:val="24"/>
        </w:rPr>
      </w:pPr>
      <w:r>
        <w:rPr>
          <w:rFonts w:cs="Aptos"/>
          <w:color w:val="000000"/>
          <w:sz w:val="24"/>
          <w:szCs w:val="24"/>
        </w:rPr>
        <w:t>Ficam garantidas cotas para:</w:t>
      </w:r>
    </w:p>
    <w:p>
      <w:pPr>
        <w:pStyle w:val="Normal"/>
        <w:numPr>
          <w:ilvl w:val="0"/>
          <w:numId w:val="2"/>
        </w:numPr>
        <w:spacing w:lineRule="auto" w:line="276" w:before="120" w:after="120"/>
        <w:ind w:hanging="360" w:left="1125" w:right="120"/>
        <w:jc w:val="both"/>
        <w:rPr>
          <w:rFonts w:cs="Aptos"/>
          <w:color w:val="000000"/>
          <w:sz w:val="24"/>
          <w:szCs w:val="24"/>
        </w:rPr>
      </w:pPr>
      <w:r>
        <w:rPr>
          <w:rFonts w:cs="Aptos"/>
          <w:color w:val="000000"/>
          <w:sz w:val="24"/>
          <w:szCs w:val="24"/>
        </w:rPr>
        <w:t>pessoas negras (pretas e pardas);</w:t>
      </w:r>
    </w:p>
    <w:p>
      <w:pPr>
        <w:pStyle w:val="Normal"/>
        <w:numPr>
          <w:ilvl w:val="0"/>
          <w:numId w:val="2"/>
        </w:numPr>
        <w:spacing w:lineRule="auto" w:line="276" w:before="120" w:after="120"/>
        <w:ind w:hanging="360" w:left="1125" w:right="120"/>
        <w:jc w:val="both"/>
        <w:rPr>
          <w:rFonts w:cs="Aptos"/>
          <w:color w:val="000000"/>
          <w:sz w:val="24"/>
          <w:szCs w:val="24"/>
        </w:rPr>
      </w:pPr>
      <w:r>
        <w:rPr>
          <w:rFonts w:cs="Aptos"/>
          <w:color w:val="000000"/>
          <w:sz w:val="24"/>
          <w:szCs w:val="24"/>
        </w:rPr>
        <w:t>pessoas indígenas;</w:t>
      </w:r>
    </w:p>
    <w:p>
      <w:pPr>
        <w:pStyle w:val="Normal"/>
        <w:numPr>
          <w:ilvl w:val="0"/>
          <w:numId w:val="2"/>
        </w:numPr>
        <w:spacing w:lineRule="auto" w:line="276" w:before="120" w:after="120"/>
        <w:ind w:hanging="360" w:left="1125" w:right="120"/>
        <w:jc w:val="both"/>
        <w:rPr>
          <w:rFonts w:cs="Aptos"/>
          <w:color w:val="000000"/>
          <w:sz w:val="24"/>
          <w:szCs w:val="24"/>
        </w:rPr>
      </w:pPr>
      <w:r>
        <w:rPr>
          <w:rFonts w:cs="Aptos"/>
          <w:color w:val="000000"/>
          <w:sz w:val="24"/>
          <w:szCs w:val="24"/>
        </w:rPr>
        <w:t>pessoas com deficiência.</w:t>
      </w:r>
    </w:p>
    <w:p>
      <w:pPr>
        <w:pStyle w:val="Normal"/>
        <w:spacing w:lineRule="auto" w:line="276" w:before="120" w:after="120"/>
        <w:ind w:right="120"/>
        <w:jc w:val="both"/>
        <w:rPr>
          <w:rFonts w:cs="Aptos"/>
          <w:color w:val="000000"/>
          <w:sz w:val="24"/>
          <w:szCs w:val="24"/>
        </w:rPr>
      </w:pPr>
      <w:r>
        <w:rPr>
          <w:rFonts w:cs="Aptos"/>
          <w:color w:val="000000"/>
          <w:sz w:val="24"/>
          <w:szCs w:val="24"/>
        </w:rPr>
        <w:t>A quantidade de cotas destinadas a cada categoria do edital está descrita no Anexo I.</w:t>
      </w:r>
    </w:p>
    <w:p>
      <w:pPr>
        <w:pStyle w:val="Normal"/>
        <w:spacing w:lineRule="auto" w:line="276" w:before="120" w:after="120"/>
        <w:ind w:right="120"/>
        <w:jc w:val="both"/>
        <w:rPr>
          <w:rFonts w:cs="Aptos"/>
          <w:color w:val="000000"/>
          <w:sz w:val="24"/>
          <w:szCs w:val="24"/>
        </w:rPr>
      </w:pPr>
      <w:r>
        <w:rPr>
          <w:rFonts w:cs="Aptos"/>
          <w:color w:val="000000"/>
          <w:sz w:val="24"/>
          <w:szCs w:val="24"/>
        </w:rPr>
        <w:t>Para concorrer às cotas, os agentes culturais deverão preencher uma autodeclaração.</w:t>
      </w:r>
    </w:p>
    <w:p>
      <w:pPr>
        <w:pStyle w:val="Normal"/>
        <w:spacing w:lineRule="auto" w:line="276" w:before="120" w:after="120"/>
        <w:ind w:right="120"/>
        <w:jc w:val="both"/>
        <w:rPr>
          <w:rFonts w:cs="Aptos"/>
          <w:color w:val="000000"/>
          <w:sz w:val="24"/>
          <w:szCs w:val="24"/>
        </w:rPr>
      </w:pPr>
      <w:r>
        <w:rPr>
          <w:rFonts w:cs="Aptos"/>
          <w:color w:val="000000"/>
          <w:sz w:val="24"/>
          <w:szCs w:val="24"/>
        </w:rPr>
        <w:t>A autodeclaração pode ser apresentada por escrito, em áudio, em vídeos ou em outros formatos acessíveis.</w:t>
      </w:r>
    </w:p>
    <w:p>
      <w:pPr>
        <w:pStyle w:val="Normal"/>
        <w:spacing w:lineRule="auto" w:line="276" w:before="120" w:after="120"/>
        <w:ind w:right="120"/>
        <w:jc w:val="both"/>
        <w:rPr>
          <w:rFonts w:cs="Aptos"/>
          <w:color w:val="FF0000"/>
          <w:sz w:val="24"/>
          <w:szCs w:val="24"/>
        </w:rPr>
      </w:pPr>
      <w:r>
        <w:rPr>
          <w:rFonts w:cs="Aptos"/>
          <w:color w:val="FF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Concorrência concomitante</w:t>
      </w:r>
    </w:p>
    <w:p>
      <w:pPr>
        <w:pStyle w:val="Normal"/>
        <w:spacing w:lineRule="auto" w:line="276" w:before="120" w:after="120"/>
        <w:ind w:right="120"/>
        <w:jc w:val="both"/>
        <w:rPr>
          <w:rFonts w:cs="Aptos"/>
          <w:color w:val="000000"/>
          <w:sz w:val="24"/>
          <w:szCs w:val="24"/>
        </w:rPr>
      </w:pPr>
      <w:r>
        <w:rPr>
          <w:rFonts w:cs="Aptos"/>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pPr>
        <w:pStyle w:val="Normal"/>
        <w:spacing w:lineRule="auto" w:line="276" w:before="120" w:after="120"/>
        <w:ind w:right="120"/>
        <w:jc w:val="both"/>
        <w:rPr>
          <w:rFonts w:cs="Aptos"/>
          <w:color w:val="000000"/>
          <w:sz w:val="24"/>
          <w:szCs w:val="24"/>
        </w:rPr>
      </w:pPr>
      <w:r>
        <w:rPr>
          <w:rFonts w:cs="Aptos"/>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pPr>
        <w:pStyle w:val="Normal"/>
        <w:spacing w:lineRule="auto" w:line="276" w:before="120" w:after="120"/>
        <w:ind w:left="765" w:right="120"/>
        <w:jc w:val="both"/>
        <w:rPr>
          <w:rFonts w:cs="Aptos"/>
          <w:b/>
          <w:color w:val="000000"/>
          <w:sz w:val="24"/>
          <w:szCs w:val="24"/>
        </w:rPr>
      </w:pPr>
      <w:r>
        <w:rPr>
          <w:rFonts w:cs="Aptos"/>
          <w:b/>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Desistência do optante pela cota</w:t>
      </w:r>
    </w:p>
    <w:p>
      <w:pPr>
        <w:pStyle w:val="Normal"/>
        <w:spacing w:lineRule="auto" w:line="276" w:before="120" w:after="120"/>
        <w:ind w:right="120"/>
        <w:jc w:val="both"/>
        <w:rPr>
          <w:rFonts w:cs="Aptos"/>
          <w:color w:val="000000"/>
          <w:sz w:val="24"/>
          <w:szCs w:val="24"/>
        </w:rPr>
      </w:pPr>
      <w:r>
        <w:rPr>
          <w:rFonts w:cs="Aptos"/>
          <w:color w:val="000000"/>
          <w:sz w:val="24"/>
          <w:szCs w:val="24"/>
        </w:rPr>
        <w:t>Em caso de desistência de optantes aprovados nas cotas, a vaga não preenchida deverá ser ocupada por pessoa que concorreu às cotas de acordo com a ordem de classificação. </w:t>
      </w:r>
    </w:p>
    <w:p>
      <w:pPr>
        <w:pStyle w:val="Normal"/>
        <w:spacing w:lineRule="auto" w:line="276" w:before="120" w:after="120"/>
        <w:ind w:right="120"/>
        <w:jc w:val="both"/>
        <w:rPr>
          <w:rFonts w:cs="Aptos"/>
          <w:b/>
          <w:color w:val="000000"/>
          <w:sz w:val="24"/>
          <w:szCs w:val="24"/>
        </w:rPr>
      </w:pPr>
      <w:r>
        <w:rPr>
          <w:rFonts w:cs="Aptos"/>
          <w:b/>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Remanejamento das cotas</w:t>
      </w:r>
    </w:p>
    <w:p>
      <w:pPr>
        <w:pStyle w:val="Normal"/>
        <w:spacing w:lineRule="auto" w:line="276" w:before="120" w:after="120"/>
        <w:ind w:right="120"/>
        <w:jc w:val="both"/>
        <w:rPr/>
      </w:pPr>
      <w:r>
        <w:rPr>
          <w:rFonts w:cs="Aptos"/>
          <w:color w:val="000000"/>
          <w:sz w:val="24"/>
          <w:szCs w:val="24"/>
        </w:rPr>
        <w:t>No caso de não existirem propostas aptas em número suficiente para o cumprimento de uma das categorias de cotas, o número de vagas restantes deverá ser destinado inicialmente para a outra categoria de cotas.</w:t>
      </w:r>
    </w:p>
    <w:p>
      <w:pPr>
        <w:pStyle w:val="Normal"/>
        <w:spacing w:lineRule="auto" w:line="276" w:before="120" w:after="120"/>
        <w:ind w:right="120"/>
        <w:jc w:val="both"/>
        <w:rPr>
          <w:rFonts w:cs="Aptos"/>
          <w:color w:val="000000"/>
          <w:sz w:val="24"/>
          <w:szCs w:val="24"/>
        </w:rPr>
      </w:pPr>
      <w:r>
        <w:rPr>
          <w:rFonts w:cs="Aptos"/>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pPr>
        <w:pStyle w:val="Normal"/>
        <w:spacing w:lineRule="auto" w:line="276" w:before="120" w:after="120"/>
        <w:ind w:left="360" w:right="120"/>
        <w:jc w:val="both"/>
        <w:rPr>
          <w:rFonts w:cs="Aptos"/>
          <w:color w:val="000000"/>
          <w:sz w:val="24"/>
          <w:szCs w:val="24"/>
          <w:shd w:fill="00FF00" w:val="clear"/>
        </w:rPr>
      </w:pPr>
      <w:r>
        <w:rPr>
          <w:rFonts w:cs="Aptos"/>
          <w:color w:val="000000"/>
          <w:sz w:val="24"/>
          <w:szCs w:val="24"/>
          <w:shd w:fill="00FF00" w:val="clear"/>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Aplicação das cotas para pessoas jurídicas e coletivos</w:t>
      </w:r>
    </w:p>
    <w:p>
      <w:pPr>
        <w:pStyle w:val="Normal"/>
        <w:spacing w:lineRule="auto" w:line="276" w:before="120" w:after="120"/>
        <w:ind w:right="120"/>
        <w:jc w:val="both"/>
        <w:rPr>
          <w:rFonts w:cs="Aptos"/>
          <w:color w:val="000000"/>
          <w:sz w:val="24"/>
          <w:szCs w:val="24"/>
        </w:rPr>
      </w:pPr>
      <w:r>
        <w:rPr>
          <w:rFonts w:cs="Aptos"/>
          <w:color w:val="000000"/>
          <w:sz w:val="24"/>
          <w:szCs w:val="24"/>
        </w:rPr>
        <w:t>As pessoas jurídicas e coletivos sem CNPJ podem concorrer às cotas, desde que preencham algum dos requisitos abaixo: </w:t>
      </w:r>
    </w:p>
    <w:p>
      <w:pPr>
        <w:pStyle w:val="Normal"/>
        <w:spacing w:lineRule="auto" w:line="276" w:before="120" w:after="120"/>
        <w:ind w:right="120"/>
        <w:jc w:val="both"/>
        <w:rPr>
          <w:color w:val="000000"/>
        </w:rPr>
      </w:pPr>
      <w:r>
        <w:rPr>
          <w:rFonts w:cs="Aptos"/>
          <w:color w:val="000000"/>
          <w:sz w:val="24"/>
          <w:szCs w:val="24"/>
        </w:rPr>
        <w:t>I - pessoas jurídicas em que mais da metade dos sócios são pessoas negras, indígenas ou com deficiência,</w:t>
      </w:r>
    </w:p>
    <w:p>
      <w:pPr>
        <w:pStyle w:val="Normal"/>
        <w:spacing w:lineRule="auto" w:line="276" w:before="120" w:after="120"/>
        <w:ind w:right="120"/>
        <w:jc w:val="both"/>
        <w:rPr>
          <w:color w:val="000000"/>
        </w:rPr>
      </w:pPr>
      <w:r>
        <w:rPr>
          <w:rFonts w:cs="Aptos"/>
          <w:color w:val="000000"/>
          <w:sz w:val="24"/>
          <w:szCs w:val="24"/>
        </w:rPr>
        <w:t>II - pessoas jurídicas ou grupos e coletivos sem CNPJ que possuam pessoas negras, indígenas ou com deficiência em posições de liderança no projeto cultural;</w:t>
      </w:r>
    </w:p>
    <w:p>
      <w:pPr>
        <w:pStyle w:val="Normal"/>
        <w:spacing w:lineRule="auto" w:line="276" w:before="120" w:after="120"/>
        <w:ind w:right="120"/>
        <w:jc w:val="both"/>
        <w:rPr>
          <w:color w:val="000000"/>
        </w:rPr>
      </w:pPr>
      <w:r>
        <w:rPr>
          <w:rFonts w:cs="Aptos"/>
          <w:color w:val="000000"/>
          <w:sz w:val="24"/>
          <w:szCs w:val="24"/>
        </w:rPr>
        <w:t>III - pessoas jurídicas ou coletivos sem CNPJ que possuam equipe do projeto cultural majoritariamente composta por pessoas negras, indígenas ou com deficiência; e</w:t>
      </w:r>
    </w:p>
    <w:p>
      <w:pPr>
        <w:pStyle w:val="Normal"/>
        <w:spacing w:lineRule="auto" w:line="276" w:before="120" w:after="120"/>
        <w:ind w:right="120"/>
        <w:jc w:val="both"/>
        <w:rPr>
          <w:color w:val="000000"/>
        </w:rPr>
      </w:pPr>
      <w:r>
        <w:rPr>
          <w:rFonts w:cs="Aptos"/>
          <w:color w:val="000000"/>
          <w:sz w:val="24"/>
          <w:szCs w:val="24"/>
        </w:rPr>
        <w:t>IV - outras formas de composição que garantam o protagonismo de pessoas negras, indígenas ou com deficiência na pessoa jurídica ou no grupo e coletivo sem personalidade jurídica.</w:t>
      </w:r>
    </w:p>
    <w:p>
      <w:pPr>
        <w:pStyle w:val="Normal"/>
        <w:spacing w:lineRule="auto" w:line="276" w:before="120" w:after="120"/>
        <w:ind w:right="120"/>
        <w:jc w:val="both"/>
        <w:rPr>
          <w:color w:themeColor="dark1" w:val="000000"/>
          <w:sz w:val="24"/>
          <w:szCs w:val="24"/>
        </w:rPr>
      </w:pPr>
      <w:r>
        <w:rPr>
          <w:color w:themeColor="dark1" w:val="000000"/>
          <w:sz w:val="24"/>
          <w:szCs w:val="24"/>
        </w:rPr>
        <w:t xml:space="preserve">As pessoas físicas que compõem a pessoa jurídica ou o coletivo sem CNPJ devem preencher uma autodeclaração, conforme modelos do Anexo VIII e Anexo IX. </w:t>
      </w:r>
    </w:p>
    <w:p>
      <w:pPr>
        <w:pStyle w:val="Normal"/>
        <w:spacing w:lineRule="auto" w:line="276" w:before="120" w:after="120"/>
        <w:ind w:right="120"/>
        <w:jc w:val="both"/>
        <w:rPr>
          <w:rFonts w:cs="Aptos"/>
          <w:color w:val="000000"/>
          <w:sz w:val="24"/>
          <w:szCs w:val="24"/>
        </w:rPr>
      </w:pPr>
      <w:r>
        <w:rPr>
          <w:rFonts w:cs="Aptos"/>
          <w:color w:val="000000"/>
          <w:sz w:val="24"/>
          <w:szCs w:val="24"/>
        </w:rPr>
      </w:r>
    </w:p>
    <w:p>
      <w:pPr>
        <w:pStyle w:val="Normal"/>
        <w:numPr>
          <w:ilvl w:val="0"/>
          <w:numId w:val="1"/>
        </w:numPr>
        <w:spacing w:lineRule="auto" w:line="276" w:before="120" w:after="120"/>
        <w:ind w:hanging="360" w:left="720" w:right="120"/>
        <w:jc w:val="both"/>
        <w:rPr>
          <w:rFonts w:cs="Aptos"/>
          <w:b/>
          <w:color w:val="000000"/>
          <w:sz w:val="24"/>
          <w:szCs w:val="24"/>
        </w:rPr>
      </w:pPr>
      <w:r>
        <w:rPr>
          <w:rFonts w:cs="Aptos"/>
          <w:b/>
          <w:color w:val="000000"/>
          <w:sz w:val="24"/>
          <w:szCs w:val="24"/>
        </w:rPr>
        <w:t>COMO ELABORAR O PROJETO (PLANO DE TRABALHO) </w:t>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Preenchimento do modelo</w:t>
      </w:r>
    </w:p>
    <w:p>
      <w:pPr>
        <w:pStyle w:val="Normal"/>
        <w:spacing w:lineRule="auto" w:line="276" w:before="120" w:after="120"/>
        <w:ind w:right="120"/>
        <w:jc w:val="both"/>
        <w:rPr>
          <w:color w:themeColor="dark1" w:val="000000"/>
          <w:sz w:val="24"/>
          <w:szCs w:val="24"/>
        </w:rPr>
      </w:pPr>
      <w:r>
        <w:rPr>
          <w:color w:themeColor="dark1" w:val="000000"/>
          <w:sz w:val="24"/>
          <w:szCs w:val="24"/>
        </w:rPr>
        <w:t>O agente cultural deve preencher o Anexo II - Formulário de Inscrição, documento que contém a ficha de inscrição, e o Anexo III - Plano de Trabalho, documento que contém a descrição do projeto e a planilha orçamentária.</w:t>
      </w:r>
    </w:p>
    <w:p>
      <w:pPr>
        <w:pStyle w:val="Normal"/>
        <w:spacing w:lineRule="auto" w:line="276" w:before="120" w:after="120"/>
        <w:ind w:right="120"/>
        <w:jc w:val="both"/>
        <w:rPr>
          <w:rFonts w:cs="Aptos"/>
          <w:color w:val="000000"/>
          <w:sz w:val="24"/>
          <w:szCs w:val="24"/>
        </w:rPr>
      </w:pPr>
      <w:r>
        <w:rPr>
          <w:rFonts w:cs="Aptos"/>
          <w:color w:val="000000"/>
          <w:sz w:val="24"/>
          <w:szCs w:val="24"/>
        </w:rPr>
        <w:t xml:space="preserve">O agente cultural será o único responsável pela veracidade do projeto e documentos encaminhados, isentando o Município de Ibiraiaras de qualquer responsabilidade civil ou penal. </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Previsão de execução do projeto</w:t>
      </w:r>
    </w:p>
    <w:p>
      <w:pPr>
        <w:pStyle w:val="Normal"/>
        <w:spacing w:lineRule="auto" w:line="276" w:before="120" w:after="120"/>
        <w:ind w:right="120"/>
        <w:jc w:val="both"/>
        <w:rPr>
          <w:rFonts w:cs="Aptos"/>
          <w:color w:val="000000"/>
          <w:sz w:val="24"/>
          <w:szCs w:val="24"/>
        </w:rPr>
      </w:pPr>
      <w:r>
        <w:rPr>
          <w:rFonts w:cs="Aptos"/>
          <w:color w:val="000000"/>
          <w:sz w:val="24"/>
          <w:szCs w:val="24"/>
        </w:rPr>
        <w:t>Os projetos apresentados deverão ser executados em até 12 meses a partir da data de recebimento do recurso.</w:t>
      </w:r>
    </w:p>
    <w:p>
      <w:pPr>
        <w:pStyle w:val="Normal"/>
        <w:spacing w:lineRule="auto" w:line="276" w:before="120" w:after="120"/>
        <w:ind w:right="120"/>
        <w:jc w:val="both"/>
        <w:rPr>
          <w:rFonts w:cs="Aptos"/>
          <w:b/>
          <w:color w:val="000000"/>
          <w:sz w:val="24"/>
          <w:szCs w:val="24"/>
        </w:rPr>
      </w:pPr>
      <w:r>
        <w:rPr>
          <w:rFonts w:cs="Aptos"/>
          <w:b/>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Custos do projeto</w:t>
      </w:r>
    </w:p>
    <w:p>
      <w:pPr>
        <w:pStyle w:val="Normal"/>
        <w:spacing w:lineRule="auto" w:line="276" w:before="120" w:after="120"/>
        <w:ind w:right="120"/>
        <w:jc w:val="both"/>
        <w:rPr>
          <w:color w:themeColor="dark1" w:val="000000"/>
          <w:sz w:val="24"/>
          <w:szCs w:val="24"/>
        </w:rPr>
      </w:pPr>
      <w:r>
        <w:rPr>
          <w:color w:themeColor="dark1" w:val="000000"/>
          <w:sz w:val="24"/>
          <w:szCs w:val="24"/>
        </w:rPr>
        <w:t>O agente cultural deve preencher a planilha orçamentária constante no Anexo III indicando os custos do projeto, por categoria, acompanhado dos valores condizentes com as práticas de mercado. O agente cultural pode informar qual a referência de preço utilizada, de acordo com as características e realidades do projeto.</w:t>
      </w:r>
    </w:p>
    <w:p>
      <w:pPr>
        <w:pStyle w:val="Normal"/>
        <w:spacing w:lineRule="auto" w:line="276" w:before="120" w:after="120"/>
        <w:ind w:right="120"/>
        <w:jc w:val="both"/>
        <w:rPr/>
      </w:pPr>
      <w:r>
        <w:rPr>
          <w:rFonts w:cs="Aptos"/>
          <w:b/>
          <w:color w:val="000000"/>
          <w:sz w:val="24"/>
          <w:szCs w:val="24"/>
        </w:rPr>
        <w:t>Atenção!</w:t>
      </w:r>
      <w:r>
        <w:rPr>
          <w:rFonts w:cs="Aptos"/>
          <w:color w:val="000000"/>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pPr>
        <w:pStyle w:val="Normal"/>
        <w:spacing w:lineRule="auto" w:line="276" w:before="120" w:after="120"/>
        <w:ind w:right="120"/>
        <w:jc w:val="both"/>
        <w:rPr/>
      </w:pPr>
      <w:r>
        <w:rPr>
          <w:rFonts w:cs="Aptos"/>
          <w:b/>
          <w:color w:val="000000"/>
          <w:sz w:val="24"/>
          <w:szCs w:val="24"/>
        </w:rPr>
        <w:t>Atenção!</w:t>
      </w:r>
      <w:r>
        <w:rPr>
          <w:rFonts w:cs="Aptos"/>
          <w:color w:val="000000"/>
          <w:sz w:val="24"/>
          <w:szCs w:val="24"/>
        </w:rPr>
        <w:t xml:space="preserve"> O valor solicitado não poderá ser superior ao valor máximo destinado a cada projeto, conforme Anexo I do presente edital.</w:t>
      </w:r>
    </w:p>
    <w:p>
      <w:pPr>
        <w:pStyle w:val="Normal"/>
        <w:spacing w:lineRule="auto" w:line="276" w:before="120" w:after="120"/>
        <w:ind w:right="120"/>
        <w:jc w:val="both"/>
        <w:rPr/>
      </w:pPr>
      <w:r>
        <w:rPr>
          <w:rFonts w:cs="Aptos"/>
          <w:b/>
          <w:color w:val="000000"/>
          <w:sz w:val="24"/>
          <w:szCs w:val="24"/>
        </w:rPr>
        <w:t>Atenção!</w:t>
      </w:r>
      <w:r>
        <w:rPr>
          <w:rFonts w:eastAsia="Times New Roman" w:cs="Aptos"/>
          <w:color w:val="000000"/>
          <w:sz w:val="24"/>
          <w:szCs w:val="24"/>
        </w:rPr>
        <w:t xml:space="preserve"> </w:t>
      </w:r>
      <w:r>
        <w:rPr>
          <w:rFonts w:cs="Aptos"/>
          <w:color w:val="000000"/>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pPr>
        <w:pStyle w:val="Normal"/>
        <w:spacing w:lineRule="auto" w:line="276" w:before="120" w:after="120"/>
        <w:ind w:right="120"/>
        <w:jc w:val="both"/>
        <w:rPr/>
      </w:pPr>
      <w:r>
        <w:rPr>
          <w:rFonts w:cs="Aptos"/>
          <w:b/>
          <w:color w:val="000000"/>
          <w:sz w:val="24"/>
          <w:szCs w:val="24"/>
        </w:rPr>
        <w:t>Atenção!</w:t>
      </w:r>
      <w:r>
        <w:rPr>
          <w:rFonts w:cs="Aptos"/>
          <w:color w:val="000000"/>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pPr>
        <w:pStyle w:val="Normal"/>
        <w:spacing w:lineRule="auto" w:line="276" w:before="120" w:after="120"/>
        <w:ind w:right="120"/>
        <w:jc w:val="both"/>
        <w:rPr>
          <w:rFonts w:cs="Aptos"/>
          <w:color w:val="000000"/>
          <w:sz w:val="24"/>
          <w:szCs w:val="24"/>
          <w:shd w:fill="00FFFF" w:val="clear"/>
        </w:rPr>
      </w:pPr>
      <w:r>
        <w:rPr>
          <w:rFonts w:cs="Aptos"/>
          <w:color w:val="000000"/>
          <w:sz w:val="24"/>
          <w:szCs w:val="24"/>
          <w:shd w:fill="00FFFF" w:val="clear"/>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 xml:space="preserve">Recursos de acessibilidade </w:t>
      </w:r>
    </w:p>
    <w:p>
      <w:pPr>
        <w:pStyle w:val="Normal"/>
        <w:spacing w:lineRule="auto" w:line="276" w:before="120" w:after="120"/>
        <w:ind w:right="120"/>
        <w:jc w:val="both"/>
        <w:rPr/>
      </w:pPr>
      <w:r>
        <w:rPr>
          <w:rFonts w:cs="Aptos"/>
          <w:color w:val="000000"/>
          <w:sz w:val="24"/>
          <w:szCs w:val="24"/>
        </w:rPr>
        <w:t>Os projetos devem contar com medidas de acessibilidade física, atitudinal e comunicacional compatíveis com as suas características, nos termos do disposto na </w:t>
      </w:r>
      <w:hyperlink r:id="rId5">
        <w:r>
          <w:rPr>
            <w:rStyle w:val="Style"/>
            <w:rFonts w:cs="Aptos"/>
            <w:color w:val="0000FF"/>
            <w:sz w:val="24"/>
            <w:szCs w:val="24"/>
            <w:u w:val="single"/>
          </w:rPr>
          <w:t>Lei nº 13.146, de 6 de julho de 2015</w:t>
        </w:r>
      </w:hyperlink>
      <w:r>
        <w:rPr>
          <w:rFonts w:cs="Aptos"/>
          <w:color w:val="000000"/>
          <w:sz w:val="24"/>
          <w:szCs w:val="24"/>
        </w:rPr>
        <w:t> (Lei Brasileira de Inclusão da Pessoa com Deficiência).</w:t>
      </w:r>
    </w:p>
    <w:p>
      <w:pPr>
        <w:pStyle w:val="Normal"/>
        <w:spacing w:lineRule="auto" w:line="276" w:before="120" w:after="120"/>
        <w:ind w:right="120"/>
        <w:jc w:val="both"/>
        <w:rPr>
          <w:rFonts w:cs="Aptos"/>
          <w:color w:val="000000"/>
          <w:sz w:val="24"/>
          <w:szCs w:val="24"/>
        </w:rPr>
      </w:pPr>
      <w:r>
        <w:rPr>
          <w:rFonts w:cs="Aptos"/>
          <w:color w:val="000000"/>
          <w:sz w:val="24"/>
          <w:szCs w:val="24"/>
        </w:rPr>
        <w:t>São medidas de acessibilidade:</w:t>
      </w:r>
    </w:p>
    <w:p>
      <w:pPr>
        <w:pStyle w:val="Normal"/>
        <w:spacing w:lineRule="auto" w:line="276" w:before="120" w:after="120"/>
        <w:ind w:right="120"/>
        <w:jc w:val="both"/>
        <w:rPr>
          <w:rFonts w:cs="Aptos"/>
          <w:color w:val="000000"/>
          <w:sz w:val="24"/>
          <w:szCs w:val="24"/>
        </w:rPr>
      </w:pPr>
      <w:r>
        <w:rPr>
          <w:rFonts w:cs="Aptos"/>
          <w:color w:val="000000"/>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Normal"/>
        <w:spacing w:lineRule="auto" w:line="276" w:before="120" w:after="120"/>
        <w:ind w:right="120"/>
        <w:jc w:val="both"/>
        <w:rPr>
          <w:rFonts w:cs="Aptos"/>
          <w:color w:val="000000"/>
          <w:sz w:val="24"/>
          <w:szCs w:val="24"/>
        </w:rPr>
      </w:pPr>
      <w:r>
        <w:rPr>
          <w:rFonts w:cs="Aptos"/>
          <w:color w:val="000000"/>
          <w:sz w:val="24"/>
          <w:szCs w:val="24"/>
        </w:rPr>
        <w:t>II - no aspecto comunicacional, recursos de acessibilidade para permitir o acesso de pessoas com deficiência intelectual, auditiva ou visual ao conteúdo dos produtos culturais gerados pelo projeto, pela iniciativa ou pelo espaço; e</w:t>
      </w:r>
    </w:p>
    <w:p>
      <w:pPr>
        <w:pStyle w:val="Normal"/>
        <w:spacing w:lineRule="auto" w:line="276" w:before="120" w:after="120"/>
        <w:ind w:right="120"/>
        <w:jc w:val="both"/>
        <w:rPr/>
      </w:pPr>
      <w:r>
        <w:rPr>
          <w:rFonts w:cs="Aptos"/>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Normal"/>
        <w:spacing w:lineRule="auto" w:line="276" w:before="120" w:after="120"/>
        <w:ind w:right="120"/>
        <w:jc w:val="both"/>
        <w:rPr>
          <w:rFonts w:cs="Aptos"/>
          <w:color w:val="000000"/>
          <w:sz w:val="24"/>
          <w:szCs w:val="24"/>
        </w:rPr>
      </w:pPr>
      <w:r>
        <w:rPr>
          <w:rFonts w:cs="Aptos"/>
          <w:color w:val="000000"/>
          <w:sz w:val="24"/>
          <w:szCs w:val="24"/>
        </w:rPr>
        <w:t>Especificamente para pessoas com deficiência, mecanismos de protagonismo e participação poderão ser concretizados também por meio das seguintes iniciativas, entre outras:</w:t>
      </w:r>
    </w:p>
    <w:p>
      <w:pPr>
        <w:pStyle w:val="Normal"/>
        <w:spacing w:lineRule="auto" w:line="276" w:before="120" w:after="120"/>
        <w:ind w:right="120"/>
        <w:jc w:val="both"/>
        <w:rPr>
          <w:rFonts w:cs="Aptos"/>
          <w:color w:val="000000"/>
          <w:sz w:val="24"/>
          <w:szCs w:val="24"/>
        </w:rPr>
      </w:pPr>
      <w:r>
        <w:rPr>
          <w:rFonts w:cs="Aptos"/>
          <w:color w:val="000000"/>
          <w:sz w:val="24"/>
          <w:szCs w:val="24"/>
        </w:rPr>
        <w:t>I - adaptação de espaços culturais com residências inclusivas;</w:t>
      </w:r>
    </w:p>
    <w:p>
      <w:pPr>
        <w:pStyle w:val="Normal"/>
        <w:spacing w:lineRule="auto" w:line="276" w:before="120" w:after="120"/>
        <w:ind w:right="120"/>
        <w:jc w:val="both"/>
        <w:rPr>
          <w:rFonts w:cs="Aptos"/>
          <w:color w:val="000000"/>
          <w:sz w:val="24"/>
          <w:szCs w:val="24"/>
        </w:rPr>
      </w:pPr>
      <w:r>
        <w:rPr>
          <w:rFonts w:cs="Aptos"/>
          <w:color w:val="000000"/>
          <w:sz w:val="24"/>
          <w:szCs w:val="24"/>
        </w:rPr>
        <w:t>II - utilização de tecnologias assistivas, ajudas técnicas e produtos com desenho universal;</w:t>
      </w:r>
    </w:p>
    <w:p>
      <w:pPr>
        <w:pStyle w:val="Normal"/>
        <w:spacing w:lineRule="auto" w:line="276" w:before="120" w:after="120"/>
        <w:ind w:right="120"/>
        <w:jc w:val="both"/>
        <w:rPr>
          <w:rFonts w:cs="Aptos"/>
          <w:color w:val="000000"/>
          <w:sz w:val="24"/>
          <w:szCs w:val="24"/>
        </w:rPr>
      </w:pPr>
      <w:r>
        <w:rPr>
          <w:rFonts w:cs="Aptos"/>
          <w:color w:val="000000"/>
          <w:sz w:val="24"/>
          <w:szCs w:val="24"/>
        </w:rPr>
        <w:t>III - medidas de prevenção e erradicação de barreiras atitudinais;</w:t>
      </w:r>
    </w:p>
    <w:p>
      <w:pPr>
        <w:pStyle w:val="Normal"/>
        <w:spacing w:lineRule="auto" w:line="276" w:before="120" w:after="120"/>
        <w:ind w:right="120"/>
        <w:jc w:val="both"/>
        <w:rPr>
          <w:rFonts w:cs="Aptos"/>
          <w:color w:val="000000"/>
          <w:sz w:val="24"/>
          <w:szCs w:val="24"/>
        </w:rPr>
      </w:pPr>
      <w:r>
        <w:rPr>
          <w:rFonts w:cs="Aptos"/>
          <w:color w:val="000000"/>
          <w:sz w:val="24"/>
          <w:szCs w:val="24"/>
        </w:rPr>
        <w:t>IV - contratação de serviços de assistência por acompanhante; ou</w:t>
      </w:r>
    </w:p>
    <w:p>
      <w:pPr>
        <w:pStyle w:val="Normal"/>
        <w:spacing w:lineRule="auto" w:line="276" w:before="120" w:after="120"/>
        <w:ind w:right="120"/>
        <w:jc w:val="both"/>
        <w:rPr>
          <w:rFonts w:cs="Aptos"/>
          <w:color w:val="000000"/>
          <w:sz w:val="24"/>
          <w:szCs w:val="24"/>
        </w:rPr>
      </w:pPr>
      <w:r>
        <w:rPr>
          <w:rFonts w:cs="Aptos"/>
          <w:color w:val="000000"/>
          <w:sz w:val="24"/>
          <w:szCs w:val="24"/>
        </w:rPr>
        <w:t>V - oferta de ações de formação e capacitação acessíveis a pessoas com deficiência.</w:t>
      </w:r>
    </w:p>
    <w:p>
      <w:pPr>
        <w:pStyle w:val="Normal"/>
        <w:spacing w:lineRule="auto" w:line="276" w:before="120" w:after="120"/>
        <w:ind w:right="120"/>
        <w:jc w:val="both"/>
        <w:rPr>
          <w:rFonts w:cs="Aptos"/>
          <w:b/>
          <w:color w:val="000000"/>
          <w:sz w:val="24"/>
          <w:szCs w:val="24"/>
        </w:rPr>
      </w:pPr>
      <w:r>
        <w:rPr>
          <w:rFonts w:cs="Aptos"/>
          <w:b/>
          <w:color w:val="000000"/>
          <w:sz w:val="24"/>
          <w:szCs w:val="24"/>
        </w:rPr>
      </w:r>
    </w:p>
    <w:p>
      <w:pPr>
        <w:pStyle w:val="Normal"/>
        <w:numPr>
          <w:ilvl w:val="0"/>
          <w:numId w:val="1"/>
        </w:numPr>
        <w:spacing w:lineRule="auto" w:line="276" w:before="120" w:after="120"/>
        <w:ind w:hanging="360" w:left="720" w:right="120"/>
        <w:jc w:val="both"/>
        <w:rPr>
          <w:rFonts w:cs="Aptos"/>
          <w:b/>
          <w:color w:val="000000"/>
          <w:sz w:val="24"/>
          <w:szCs w:val="24"/>
        </w:rPr>
      </w:pPr>
      <w:r>
        <w:rPr>
          <w:rFonts w:cs="Aptos"/>
          <w:b/>
          <w:color w:val="000000"/>
          <w:sz w:val="24"/>
          <w:szCs w:val="24"/>
        </w:rPr>
        <w:t>ETAPA DE SELEÇÃO</w:t>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Quem analisa os projetos</w:t>
      </w:r>
    </w:p>
    <w:p>
      <w:pPr>
        <w:pStyle w:val="Normal"/>
        <w:spacing w:lineRule="auto" w:line="276" w:before="240" w:after="240"/>
        <w:jc w:val="both"/>
        <w:rPr>
          <w:rFonts w:cs="Aptos"/>
          <w:color w:val="000000"/>
          <w:sz w:val="24"/>
          <w:szCs w:val="24"/>
        </w:rPr>
      </w:pPr>
      <w:r>
        <w:rPr>
          <w:rFonts w:cs="Aptos"/>
          <w:color w:val="000000"/>
          <w:sz w:val="24"/>
          <w:szCs w:val="24"/>
        </w:rPr>
        <w:t>Uma comissão de seleção vai avaliar os projetos. Todas as atividades serão registradas em ata.</w:t>
      </w:r>
    </w:p>
    <w:p>
      <w:pPr>
        <w:pStyle w:val="Normal"/>
        <w:spacing w:lineRule="auto" w:line="276" w:before="240" w:after="240"/>
        <w:jc w:val="both"/>
        <w:rPr>
          <w:rFonts w:cs="Aptos"/>
          <w:color w:val="000000"/>
          <w:sz w:val="24"/>
          <w:szCs w:val="24"/>
        </w:rPr>
      </w:pPr>
      <w:r>
        <w:rPr>
          <w:rFonts w:cs="Aptos"/>
          <w:color w:val="000000"/>
          <w:sz w:val="24"/>
          <w:szCs w:val="24"/>
        </w:rPr>
        <w:t>Farão parte desta comissão três membros e escolhidos pelo Conselho de Cultura do Município.</w:t>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Quem não pode analisar os projetos</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spacing w:lineRule="auto" w:line="276" w:before="120" w:after="120"/>
        <w:ind w:right="120"/>
        <w:jc w:val="both"/>
        <w:rPr>
          <w:rFonts w:cs="Aptos"/>
          <w:color w:val="000000"/>
          <w:sz w:val="24"/>
          <w:szCs w:val="24"/>
        </w:rPr>
      </w:pPr>
      <w:r>
        <w:rPr>
          <w:rFonts w:cs="Aptos"/>
          <w:color w:val="000000"/>
          <w:sz w:val="24"/>
          <w:szCs w:val="24"/>
        </w:rPr>
        <w:t>Os membros da comissão de seleção e respectivos suplentes ficam impedidos de participar da apreciação dos projetos quando:</w:t>
      </w:r>
    </w:p>
    <w:p>
      <w:pPr>
        <w:pStyle w:val="Normal"/>
        <w:spacing w:lineRule="auto" w:line="276" w:before="120" w:after="120"/>
        <w:ind w:right="120"/>
        <w:jc w:val="both"/>
        <w:rPr>
          <w:rFonts w:cs="Aptos"/>
          <w:color w:val="000000"/>
          <w:sz w:val="24"/>
          <w:szCs w:val="24"/>
        </w:rPr>
      </w:pPr>
      <w:r>
        <w:rPr>
          <w:rFonts w:cs="Aptos"/>
          <w:color w:val="000000"/>
          <w:sz w:val="24"/>
          <w:szCs w:val="24"/>
        </w:rPr>
        <w:t>I - tiverem interesse direto na matéria;</w:t>
      </w:r>
    </w:p>
    <w:p>
      <w:pPr>
        <w:pStyle w:val="Normal"/>
        <w:spacing w:lineRule="auto" w:line="276" w:before="120" w:after="120"/>
        <w:ind w:right="120"/>
        <w:jc w:val="both"/>
        <w:rPr>
          <w:rFonts w:cs="Aptos"/>
          <w:color w:val="000000"/>
          <w:sz w:val="24"/>
          <w:szCs w:val="24"/>
        </w:rPr>
      </w:pPr>
      <w:r>
        <w:rPr>
          <w:rFonts w:cs="Aptos"/>
          <w:color w:val="000000"/>
          <w:sz w:val="24"/>
          <w:szCs w:val="24"/>
        </w:rPr>
        <w:t>II - tenham participado como colaborador na elaboração do projeto;</w:t>
      </w:r>
    </w:p>
    <w:p>
      <w:pPr>
        <w:pStyle w:val="Normal"/>
        <w:spacing w:lineRule="auto" w:line="276" w:before="120" w:after="120"/>
        <w:ind w:right="120"/>
        <w:jc w:val="both"/>
        <w:rPr>
          <w:rFonts w:cs="Aptos"/>
          <w:color w:val="000000"/>
          <w:sz w:val="24"/>
          <w:szCs w:val="24"/>
        </w:rPr>
      </w:pPr>
      <w:r>
        <w:rPr>
          <w:rFonts w:cs="Aptos"/>
          <w:color w:val="000000"/>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pPr>
        <w:pStyle w:val="Normal"/>
        <w:spacing w:lineRule="auto" w:line="276" w:before="120" w:after="120"/>
        <w:ind w:right="120"/>
        <w:jc w:val="both"/>
        <w:rPr>
          <w:rFonts w:cs="Aptos"/>
          <w:color w:val="000000"/>
          <w:sz w:val="24"/>
          <w:szCs w:val="24"/>
        </w:rPr>
      </w:pPr>
      <w:r>
        <w:rPr>
          <w:rFonts w:cs="Aptos"/>
          <w:color w:val="000000"/>
          <w:sz w:val="24"/>
          <w:szCs w:val="24"/>
        </w:rPr>
        <w:t>IV - sejam parte em ação judicial ou administrativa em face do agente cultural ou do respectivo cônjuge ou companheiro.</w:t>
      </w:r>
    </w:p>
    <w:p>
      <w:pPr>
        <w:pStyle w:val="Normal"/>
        <w:spacing w:lineRule="auto" w:line="276" w:before="120" w:after="120"/>
        <w:ind w:right="120"/>
        <w:jc w:val="both"/>
        <w:rPr>
          <w:rFonts w:cs="Aptos"/>
          <w:color w:val="000000"/>
          <w:sz w:val="24"/>
          <w:szCs w:val="24"/>
        </w:rPr>
      </w:pPr>
      <w:r>
        <w:rPr>
          <w:rFonts w:cs="Aptos"/>
          <w:color w:val="000000"/>
          <w:sz w:val="24"/>
          <w:szCs w:val="24"/>
        </w:rPr>
        <w:t>Caso o membro da comissão se enquadre nas situações de impedimento, deve comunicar à comissão, e deixar de atuar, imediatamente, caso contrário todos os atos praticados podem ser considerados nulos. </w:t>
      </w:r>
    </w:p>
    <w:p>
      <w:pPr>
        <w:pStyle w:val="Normal"/>
        <w:spacing w:lineRule="auto" w:line="276" w:before="120" w:after="120"/>
        <w:ind w:right="120"/>
        <w:jc w:val="both"/>
        <w:rPr/>
      </w:pPr>
      <w:r>
        <w:rPr>
          <w:rFonts w:cs="Aptos"/>
          <w:b/>
          <w:color w:val="000000"/>
          <w:sz w:val="24"/>
          <w:szCs w:val="24"/>
        </w:rPr>
        <w:t xml:space="preserve">Atenção! </w:t>
      </w:r>
      <w:r>
        <w:rPr>
          <w:rFonts w:cs="Aptos"/>
          <w:color w:val="000000"/>
          <w:sz w:val="24"/>
          <w:szCs w:val="24"/>
        </w:rPr>
        <w:t>Os parentes de que trata o item III são: pai, mãe, filho/filha, avô, avó, neto/neta, bisavô/bisavó, bisneto/bisneta, irmão/irmã, tio/tia, sobrinho/sobrinha, sogro/sogra, genro/nora, enteado/enteada, cunhado/cunhada.</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 xml:space="preserve">Análise do mérito cultural </w:t>
      </w:r>
    </w:p>
    <w:p>
      <w:pPr>
        <w:pStyle w:val="Normal"/>
        <w:spacing w:lineRule="auto" w:line="276" w:before="120" w:after="120"/>
        <w:ind w:right="120"/>
        <w:jc w:val="both"/>
        <w:rPr>
          <w:rFonts w:cs="Aptos"/>
          <w:color w:val="000000"/>
          <w:sz w:val="24"/>
          <w:szCs w:val="24"/>
        </w:rPr>
      </w:pPr>
      <w:r>
        <w:rPr>
          <w:rFonts w:cs="Aptos"/>
          <w:color w:val="000000"/>
          <w:sz w:val="24"/>
          <w:szCs w:val="24"/>
        </w:rPr>
        <w:t>Os membros da comissão de seleção farão a análise de mérito cultural dos projetos.</w:t>
      </w:r>
    </w:p>
    <w:p>
      <w:pPr>
        <w:pStyle w:val="Normal"/>
        <w:spacing w:lineRule="auto" w:line="276" w:before="120" w:after="120"/>
        <w:ind w:right="120"/>
        <w:jc w:val="both"/>
        <w:rPr>
          <w:color w:themeColor="dark1" w:val="000000"/>
          <w:sz w:val="24"/>
          <w:szCs w:val="24"/>
        </w:rPr>
      </w:pPr>
      <w:r>
        <w:rPr>
          <w:color w:themeColor="dark1" w:val="000000"/>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IV deste edital.</w:t>
      </w:r>
    </w:p>
    <w:p>
      <w:pPr>
        <w:pStyle w:val="Normal"/>
        <w:spacing w:lineRule="auto" w:line="276" w:before="120" w:after="120"/>
        <w:ind w:right="120"/>
        <w:jc w:val="both"/>
        <w:rPr>
          <w:rFonts w:cs="Aptos"/>
          <w:color w:val="000000"/>
          <w:sz w:val="24"/>
          <w:szCs w:val="24"/>
        </w:rPr>
      </w:pPr>
      <w:r>
        <w:rPr>
          <w:rFonts w:cs="Aptos"/>
          <w:color w:val="000000"/>
          <w:sz w:val="24"/>
          <w:szCs w:val="24"/>
        </w:rPr>
        <w:t>Por análise comparativa compreende-se a análise dos itens individuais de cada projeto, e de seus impactos e relevância em relação a outros projetos inscritos na mesma categoria. A pontuação de cada projeto é atribuída em função desta comparação.</w:t>
      </w:r>
    </w:p>
    <w:p>
      <w:pPr>
        <w:pStyle w:val="Normal"/>
        <w:spacing w:lineRule="auto" w:line="276" w:before="120" w:after="120"/>
        <w:ind w:left="120" w:right="120"/>
        <w:jc w:val="both"/>
        <w:rPr>
          <w:rFonts w:cs="Aptos"/>
          <w:b/>
          <w:color w:val="000000"/>
          <w:sz w:val="24"/>
          <w:szCs w:val="24"/>
        </w:rPr>
      </w:pPr>
      <w:r>
        <w:rPr>
          <w:rFonts w:cs="Aptos"/>
          <w:b/>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Análise da planilha orçamentária</w:t>
      </w:r>
    </w:p>
    <w:p>
      <w:pPr>
        <w:pStyle w:val="Normal"/>
        <w:spacing w:lineRule="auto" w:line="276" w:before="120" w:after="120"/>
        <w:ind w:right="120"/>
        <w:jc w:val="both"/>
        <w:rPr>
          <w:rFonts w:cs="Aptos"/>
          <w:color w:val="000000"/>
          <w:sz w:val="24"/>
          <w:szCs w:val="24"/>
        </w:rPr>
      </w:pPr>
      <w:r>
        <w:rPr>
          <w:rFonts w:cs="Aptos"/>
          <w:color w:val="000000"/>
          <w:sz w:val="24"/>
          <w:szCs w:val="24"/>
        </w:rPr>
        <w:t>Os membros da comissão de seleção vão avaliar se os valores informados pelo agente cultural são compatíveis com os preços praticados no mercado.</w:t>
      </w:r>
    </w:p>
    <w:p>
      <w:pPr>
        <w:pStyle w:val="Normal"/>
        <w:spacing w:lineRule="auto" w:line="276" w:before="120" w:after="120"/>
        <w:ind w:right="120"/>
        <w:jc w:val="both"/>
        <w:rPr>
          <w:rFonts w:cs="Aptos"/>
          <w:color w:val="000000"/>
          <w:sz w:val="24"/>
          <w:szCs w:val="24"/>
        </w:rPr>
      </w:pPr>
      <w:r>
        <w:rPr>
          <w:rFonts w:cs="Aptos"/>
          <w:color w:val="000000"/>
          <w:sz w:val="24"/>
          <w:szCs w:val="24"/>
        </w:rPr>
        <w:t>Os membros da comissão de seleção podem realizar a análise comparando os valores apresentados pelo agente cultural com tabelas referenciais de valores, ou com outros métodos de verificação.</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Valores incompatíveis com o mercado</w:t>
      </w:r>
    </w:p>
    <w:p>
      <w:pPr>
        <w:pStyle w:val="Normal"/>
        <w:spacing w:lineRule="auto" w:line="276" w:before="120" w:after="120"/>
        <w:ind w:right="120"/>
        <w:jc w:val="both"/>
        <w:rPr>
          <w:rFonts w:cs="Aptos"/>
          <w:color w:val="000000"/>
          <w:sz w:val="24"/>
          <w:szCs w:val="24"/>
        </w:rPr>
      </w:pPr>
      <w:r>
        <w:rPr>
          <w:rFonts w:cs="Aptos"/>
          <w:color w:val="000000"/>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pPr>
        <w:pStyle w:val="Normal"/>
        <w:spacing w:lineRule="auto" w:line="276" w:before="120" w:after="120"/>
        <w:ind w:right="120"/>
        <w:jc w:val="both"/>
        <w:rPr>
          <w:rFonts w:cs="Aptos"/>
          <w:color w:val="000000"/>
          <w:sz w:val="24"/>
          <w:szCs w:val="24"/>
        </w:rPr>
      </w:pPr>
      <w:r>
        <w:rPr>
          <w:rFonts w:cs="Aptos"/>
          <w:color w:val="000000"/>
          <w:sz w:val="24"/>
          <w:szCs w:val="24"/>
        </w:rPr>
        <w:t>Caso o agente cultural discorde dos valores glosados (vetados) poderá apresentar recurso da etapa de seleção, conforme dispõe o 7.6.</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Recurso da etapa de seleção</w:t>
      </w:r>
    </w:p>
    <w:p>
      <w:pPr>
        <w:pStyle w:val="Normal"/>
        <w:spacing w:lineRule="auto" w:line="276" w:before="120" w:after="120"/>
        <w:ind w:right="120"/>
        <w:jc w:val="both"/>
        <w:rPr>
          <w:rFonts w:cs="Aptos"/>
          <w:color w:val="000000"/>
          <w:sz w:val="24"/>
          <w:szCs w:val="24"/>
        </w:rPr>
      </w:pPr>
      <w:r>
        <w:rPr>
          <w:rFonts w:cs="Aptos"/>
          <w:color w:val="000000"/>
          <w:sz w:val="24"/>
          <w:szCs w:val="24"/>
        </w:rPr>
        <w:t>O resultado provisório da etapa de seleção será divulgado no diário oficial do Município de Ibiraiaras e no site oficial em www.ibiraiaras.rs.gov.br/pnab/</w:t>
      </w:r>
    </w:p>
    <w:p>
      <w:pPr>
        <w:pStyle w:val="Normal"/>
        <w:spacing w:lineRule="auto" w:line="276" w:before="120" w:after="120"/>
        <w:ind w:right="120"/>
        <w:jc w:val="both"/>
        <w:rPr/>
      </w:pPr>
      <w:r>
        <w:rPr>
          <w:rFonts w:cs="Aptos"/>
          <w:color w:val="000000"/>
          <w:sz w:val="24"/>
          <w:szCs w:val="24"/>
        </w:rPr>
        <w:t>Contra a decisão da fase de seleção, caberá recurso destinado à Secretaria Municipal de Educação e Cultua que deve ser apresentado por meio físico no prazo de 03 dias, CONFORME INCISO III DO ART. 9º DA LEI Nº 14.903/2024,</w:t>
      </w:r>
      <w:r>
        <w:rPr>
          <w:rFonts w:cs="Aptos"/>
          <w:color w:val="FF0000"/>
          <w:sz w:val="24"/>
          <w:szCs w:val="24"/>
        </w:rPr>
        <w:t> </w:t>
      </w:r>
      <w:r>
        <w:rPr>
          <w:rFonts w:cs="Aptos"/>
          <w:sz w:val="24"/>
          <w:szCs w:val="24"/>
        </w:rPr>
        <w:t xml:space="preserve">a </w:t>
      </w:r>
      <w:r>
        <w:rPr>
          <w:rFonts w:cs="Aptos"/>
          <w:color w:val="000000"/>
          <w:sz w:val="24"/>
          <w:szCs w:val="24"/>
        </w:rPr>
        <w:t>contar da publicação do resultado, considerando-se para início da contagem o primeiro dia útil posterior à publicação.</w:t>
      </w:r>
    </w:p>
    <w:p>
      <w:pPr>
        <w:pStyle w:val="Normal"/>
        <w:spacing w:lineRule="auto" w:line="276" w:before="120" w:after="120"/>
        <w:ind w:right="120"/>
        <w:jc w:val="both"/>
        <w:rPr>
          <w:b/>
          <w:bCs/>
        </w:rPr>
      </w:pPr>
      <w:r>
        <w:rPr>
          <w:rFonts w:cs="Aptos"/>
          <w:b/>
          <w:bCs/>
          <w:color w:val="000000"/>
          <w:sz w:val="24"/>
          <w:szCs w:val="24"/>
        </w:rPr>
        <w:t>Os recursos apresentados após o prazo não serão avaliados. </w:t>
      </w:r>
    </w:p>
    <w:p>
      <w:pPr>
        <w:pStyle w:val="Normal"/>
        <w:spacing w:lineRule="auto" w:line="276" w:before="120" w:after="120"/>
        <w:ind w:right="120"/>
        <w:jc w:val="both"/>
        <w:rPr>
          <w:color w:val="000000"/>
        </w:rPr>
      </w:pPr>
      <w:r>
        <w:rPr>
          <w:rFonts w:cs="Aptos"/>
          <w:color w:val="000000"/>
          <w:sz w:val="24"/>
          <w:szCs w:val="24"/>
        </w:rPr>
        <w:t>Após o julgamento dos recursos, o resultado final da etapa de seleção será divulgado no site oficial do Município em www.ibiraiaras.rs.gov.br/pnab/</w:t>
      </w:r>
    </w:p>
    <w:p>
      <w:pPr>
        <w:pStyle w:val="Normal"/>
        <w:spacing w:lineRule="auto" w:line="276" w:before="120" w:after="120"/>
        <w:ind w:left="120" w:right="120"/>
        <w:jc w:val="both"/>
        <w:rPr>
          <w:rFonts w:cs="Aptos"/>
          <w:color w:val="000000"/>
          <w:sz w:val="24"/>
          <w:szCs w:val="24"/>
        </w:rPr>
      </w:pPr>
      <w:r>
        <w:rPr>
          <w:rFonts w:cs="Aptos"/>
          <w:color w:val="000000"/>
          <w:sz w:val="24"/>
          <w:szCs w:val="24"/>
        </w:rPr>
        <w:t> </w:t>
      </w:r>
    </w:p>
    <w:p>
      <w:pPr>
        <w:pStyle w:val="Normal"/>
        <w:numPr>
          <w:ilvl w:val="0"/>
          <w:numId w:val="1"/>
        </w:numPr>
        <w:spacing w:lineRule="auto" w:line="276" w:before="120" w:after="120"/>
        <w:ind w:hanging="360" w:left="720" w:right="120"/>
        <w:jc w:val="both"/>
        <w:rPr>
          <w:rFonts w:cs="Aptos"/>
          <w:b/>
          <w:color w:val="000000"/>
          <w:sz w:val="24"/>
          <w:szCs w:val="24"/>
        </w:rPr>
      </w:pPr>
      <w:r>
        <w:rPr>
          <w:rFonts w:cs="Aptos"/>
          <w:b/>
          <w:color w:val="000000"/>
          <w:sz w:val="24"/>
          <w:szCs w:val="24"/>
        </w:rPr>
        <w:t>REMANEJAMENTO DE VAGAS</w:t>
      </w:r>
    </w:p>
    <w:p>
      <w:pPr>
        <w:pStyle w:val="Normal"/>
        <w:spacing w:lineRule="auto" w:line="276" w:before="120" w:after="120"/>
        <w:ind w:right="120"/>
        <w:jc w:val="both"/>
        <w:rPr>
          <w:rFonts w:cs="Aptos"/>
          <w:color w:val="000000"/>
          <w:sz w:val="24"/>
          <w:szCs w:val="24"/>
        </w:rPr>
      </w:pPr>
      <w:r>
        <w:rPr>
          <w:rFonts w:cs="Aptos"/>
          <w:color w:val="000000"/>
          <w:sz w:val="24"/>
          <w:szCs w:val="24"/>
        </w:rPr>
        <w:t>Caso o Edital não tenha todas as vagas preenchidas, o recurso disponível será distribuído entre os projetos selecionados, que deverão ter seu plano de trabalho e orçamento readequado ao novo valor, no prazo de até 03 dias a contar da convocação.</w:t>
      </w:r>
    </w:p>
    <w:p>
      <w:pPr>
        <w:pStyle w:val="Normal"/>
        <w:spacing w:lineRule="auto" w:line="276" w:before="120" w:after="120"/>
        <w:ind w:right="120"/>
        <w:jc w:val="both"/>
        <w:rPr>
          <w:rFonts w:cs="Aptos"/>
          <w:color w:val="000000"/>
          <w:sz w:val="24"/>
          <w:szCs w:val="24"/>
        </w:rPr>
      </w:pPr>
      <w:r>
        <w:rPr>
          <w:rFonts w:cs="Aptos"/>
          <w:color w:val="000000"/>
          <w:sz w:val="24"/>
          <w:szCs w:val="24"/>
        </w:rPr>
        <w:t> </w:t>
      </w:r>
    </w:p>
    <w:p>
      <w:pPr>
        <w:pStyle w:val="Normal"/>
        <w:numPr>
          <w:ilvl w:val="0"/>
          <w:numId w:val="1"/>
        </w:numPr>
        <w:spacing w:lineRule="auto" w:line="276" w:before="120" w:after="120"/>
        <w:ind w:hanging="360" w:left="720" w:right="120"/>
        <w:jc w:val="both"/>
        <w:rPr/>
      </w:pPr>
      <w:r>
        <w:rPr>
          <w:rFonts w:cs="Arial"/>
          <w:b/>
          <w:color w:val="000000"/>
          <w:sz w:val="24"/>
          <w:szCs w:val="24"/>
        </w:rPr>
        <w:t>​</w:t>
      </w:r>
      <w:r>
        <w:rPr>
          <w:rFonts w:cs="Aptos"/>
          <w:b/>
          <w:color w:val="000000"/>
          <w:sz w:val="24"/>
          <w:szCs w:val="24"/>
        </w:rPr>
        <w:t xml:space="preserve"> </w:t>
      </w:r>
      <w:r>
        <w:rPr>
          <w:rFonts w:cs="Aptos"/>
          <w:b/>
          <w:color w:val="000000"/>
          <w:sz w:val="24"/>
          <w:szCs w:val="24"/>
        </w:rPr>
        <w:t>ETAPA DE HABILITAÇÃO </w:t>
      </w:r>
    </w:p>
    <w:p>
      <w:pPr>
        <w:pStyle w:val="Normal"/>
        <w:numPr>
          <w:ilvl w:val="1"/>
          <w:numId w:val="1"/>
        </w:numPr>
        <w:spacing w:lineRule="auto" w:line="276" w:before="120" w:after="120"/>
        <w:ind w:hanging="405" w:left="765" w:right="120"/>
        <w:jc w:val="both"/>
        <w:rPr>
          <w:b/>
          <w:bCs/>
          <w:color w:val="000000"/>
          <w:sz w:val="24"/>
          <w:szCs w:val="24"/>
        </w:rPr>
      </w:pPr>
      <w:r>
        <w:rPr>
          <w:b/>
          <w:bCs/>
          <w:color w:val="000000"/>
          <w:sz w:val="24"/>
          <w:szCs w:val="24"/>
        </w:rPr>
        <w:t>Documentos necessários</w:t>
      </w:r>
    </w:p>
    <w:p>
      <w:pPr>
        <w:pStyle w:val="Normal"/>
        <w:spacing w:lineRule="auto" w:line="276" w:before="120" w:after="120"/>
        <w:ind w:right="120"/>
        <w:jc w:val="both"/>
        <w:rPr/>
      </w:pPr>
      <w:r>
        <w:rPr>
          <w:color w:val="000000"/>
          <w:sz w:val="24"/>
          <w:szCs w:val="24"/>
        </w:rPr>
        <w:t>O agente cultural responsável pelo projeto selecionado deverá encaminhar no prazo de</w:t>
      </w:r>
      <w:r>
        <w:rPr>
          <w:b/>
          <w:bCs/>
          <w:color w:val="000000"/>
          <w:sz w:val="24"/>
          <w:szCs w:val="24"/>
        </w:rPr>
        <w:t xml:space="preserve"> 05 dias, </w:t>
      </w:r>
      <w:r>
        <w:rPr>
          <w:color w:val="000000"/>
          <w:sz w:val="24"/>
          <w:szCs w:val="24"/>
        </w:rPr>
        <w:t>após a publicação do resultado final de seleção, por meio físico,</w:t>
      </w:r>
      <w:r>
        <w:rPr>
          <w:color w:val="FF0000"/>
          <w:sz w:val="24"/>
          <w:szCs w:val="24"/>
        </w:rPr>
        <w:t xml:space="preserve"> </w:t>
      </w:r>
      <w:r>
        <w:rPr>
          <w:color w:val="000000"/>
          <w:sz w:val="24"/>
          <w:szCs w:val="24"/>
        </w:rPr>
        <w:t>os seguintes documentos:</w:t>
      </w:r>
    </w:p>
    <w:p>
      <w:pPr>
        <w:pStyle w:val="Normal"/>
        <w:spacing w:lineRule="auto" w:line="276" w:before="120" w:after="120"/>
        <w:ind w:right="120"/>
        <w:jc w:val="both"/>
        <w:rPr>
          <w:rFonts w:cs="Aptos"/>
          <w:color w:val="000000"/>
          <w:sz w:val="24"/>
          <w:szCs w:val="24"/>
        </w:rPr>
      </w:pPr>
      <w:r>
        <w:rPr>
          <w:rFonts w:cs="Aptos"/>
          <w:color w:val="000000"/>
          <w:sz w:val="24"/>
          <w:szCs w:val="24"/>
        </w:rPr>
      </w:r>
    </w:p>
    <w:p>
      <w:pPr>
        <w:pStyle w:val="Normal"/>
        <w:spacing w:lineRule="auto" w:line="276" w:before="120" w:after="120"/>
        <w:ind w:right="120"/>
        <w:jc w:val="both"/>
        <w:rPr/>
      </w:pPr>
      <w:r>
        <w:rPr>
          <w:rFonts w:cs="Aptos"/>
          <w:color w:val="000000"/>
          <w:sz w:val="24"/>
          <w:szCs w:val="24"/>
        </w:rPr>
        <w:t xml:space="preserve">Se o agente cultural for </w:t>
      </w:r>
      <w:r>
        <w:rPr>
          <w:rFonts w:cs="Aptos"/>
          <w:b/>
          <w:color w:val="000000"/>
          <w:sz w:val="24"/>
          <w:szCs w:val="24"/>
        </w:rPr>
        <w:t>pessoa física</w:t>
      </w:r>
      <w:r>
        <w:rPr>
          <w:rFonts w:cs="Aptos"/>
          <w:color w:val="000000"/>
          <w:sz w:val="24"/>
          <w:szCs w:val="24"/>
        </w:rPr>
        <w:t xml:space="preserve">: </w:t>
      </w:r>
    </w:p>
    <w:p>
      <w:pPr>
        <w:pStyle w:val="Normal"/>
        <w:spacing w:lineRule="auto" w:line="276" w:before="120" w:after="120"/>
        <w:ind w:right="120"/>
        <w:jc w:val="both"/>
        <w:rPr>
          <w:rFonts w:cs="Aptos"/>
          <w:color w:val="000000"/>
          <w:sz w:val="24"/>
          <w:szCs w:val="24"/>
        </w:rPr>
      </w:pPr>
      <w:r>
        <w:rPr>
          <w:rFonts w:cs="Aptos"/>
          <w:color w:val="000000"/>
          <w:sz w:val="24"/>
          <w:szCs w:val="24"/>
        </w:rPr>
        <w:t>I – documento pessoal do agente cultural que contenha RG e CPF (Ex.: Carteira de Identidade, Carteira Nacional de Habilitação – CNH, Carteira de Trabalho, etc);</w:t>
      </w:r>
    </w:p>
    <w:p>
      <w:pPr>
        <w:pStyle w:val="Normal"/>
        <w:spacing w:lineRule="auto" w:line="276" w:before="120" w:after="120"/>
        <w:ind w:right="120"/>
        <w:jc w:val="both"/>
        <w:rPr>
          <w:rFonts w:cs="Aptos"/>
          <w:color w:val="000000"/>
          <w:sz w:val="24"/>
          <w:szCs w:val="24"/>
        </w:rPr>
      </w:pPr>
      <w:r>
        <w:rPr>
          <w:rFonts w:cs="Aptos"/>
          <w:color w:val="000000"/>
          <w:sz w:val="24"/>
          <w:szCs w:val="24"/>
        </w:rPr>
        <w:t>II - certidão negativa de débitos relativos a créditos tributários federais e Dívida Ativa da União;</w:t>
      </w:r>
    </w:p>
    <w:p>
      <w:pPr>
        <w:pStyle w:val="Normal"/>
        <w:spacing w:lineRule="auto" w:line="276" w:before="120" w:after="120"/>
        <w:ind w:right="120"/>
        <w:jc w:val="both"/>
        <w:rPr>
          <w:rFonts w:cs="Aptos"/>
          <w:color w:val="000000"/>
          <w:sz w:val="24"/>
          <w:szCs w:val="24"/>
        </w:rPr>
      </w:pPr>
      <w:r>
        <w:rPr>
          <w:rFonts w:cs="Aptos"/>
          <w:color w:val="000000"/>
          <w:sz w:val="24"/>
          <w:szCs w:val="24"/>
        </w:rPr>
        <w:t>III - certidões negativas de débitos relativas aos créditos tributários estaduais e municipais, expedidas pela  Prefeitura de Ibiraiaras;</w:t>
      </w:r>
    </w:p>
    <w:p>
      <w:pPr>
        <w:pStyle w:val="Normal"/>
        <w:spacing w:lineRule="auto" w:line="276" w:before="120" w:after="120"/>
        <w:ind w:right="120"/>
        <w:jc w:val="both"/>
        <w:rPr>
          <w:rFonts w:cs="Aptos"/>
          <w:color w:val="000000"/>
          <w:sz w:val="24"/>
          <w:szCs w:val="24"/>
        </w:rPr>
      </w:pPr>
      <w:r>
        <w:rPr>
          <w:rFonts w:cs="Aptos"/>
          <w:color w:val="000000"/>
          <w:sz w:val="24"/>
          <w:szCs w:val="24"/>
        </w:rPr>
        <w:t>IV - certidão negativa de débitos trabalhistas - CNDT, emitida no site do Tribunal Superior do Trabalho; </w:t>
      </w:r>
    </w:p>
    <w:p>
      <w:pPr>
        <w:pStyle w:val="Normal"/>
        <w:spacing w:lineRule="auto" w:line="276" w:before="120" w:after="120"/>
        <w:ind w:right="120"/>
        <w:jc w:val="both"/>
        <w:rPr>
          <w:rFonts w:cs="Aptos"/>
          <w:color w:val="000000"/>
          <w:sz w:val="24"/>
          <w:szCs w:val="24"/>
        </w:rPr>
      </w:pPr>
      <w:r>
        <w:rPr>
          <w:rFonts w:cs="Aptos"/>
          <w:color w:val="000000"/>
          <w:sz w:val="24"/>
          <w:szCs w:val="24"/>
        </w:rPr>
        <w:t>V - comprovante de residência, por meio da apresentação de contas relativas à residência ou de declaração assinada pelo agente cultural.</w:t>
      </w:r>
    </w:p>
    <w:p>
      <w:pPr>
        <w:pStyle w:val="Normal"/>
        <w:spacing w:lineRule="auto" w:line="276" w:before="120" w:after="120"/>
        <w:ind w:left="120" w:right="120"/>
        <w:jc w:val="both"/>
        <w:rPr>
          <w:rFonts w:cs="Aptos"/>
          <w:b/>
          <w:color w:val="000000"/>
          <w:sz w:val="24"/>
          <w:szCs w:val="24"/>
        </w:rPr>
      </w:pPr>
      <w:r>
        <w:rPr>
          <w:rFonts w:cs="Aptos"/>
          <w:b/>
          <w:color w:val="000000"/>
          <w:sz w:val="24"/>
          <w:szCs w:val="24"/>
        </w:rPr>
      </w:r>
    </w:p>
    <w:p>
      <w:pPr>
        <w:pStyle w:val="Normal"/>
        <w:spacing w:lineRule="auto" w:line="276" w:before="120" w:after="120"/>
        <w:ind w:right="120"/>
        <w:jc w:val="both"/>
        <w:rPr/>
      </w:pPr>
      <w:r>
        <w:rPr>
          <w:rFonts w:cs="Aptos"/>
          <w:b/>
          <w:color w:val="000000"/>
          <w:sz w:val="24"/>
          <w:szCs w:val="24"/>
        </w:rPr>
        <w:t>Atenção!</w:t>
      </w:r>
      <w:r>
        <w:rPr>
          <w:rFonts w:cs="Aptos"/>
          <w:color w:val="000000"/>
          <w:sz w:val="24"/>
          <w:szCs w:val="24"/>
        </w:rPr>
        <w:t xml:space="preserve">  A comprovação de residência poderá ser dispensada nas hipóteses de agentes culturais:</w:t>
      </w:r>
    </w:p>
    <w:p>
      <w:pPr>
        <w:pStyle w:val="Normal"/>
        <w:spacing w:lineRule="auto" w:line="276" w:before="120" w:after="120"/>
        <w:ind w:right="120"/>
        <w:jc w:val="both"/>
        <w:rPr>
          <w:rFonts w:cs="Aptos"/>
          <w:color w:val="000000"/>
          <w:sz w:val="24"/>
          <w:szCs w:val="24"/>
        </w:rPr>
      </w:pPr>
      <w:r>
        <w:rPr>
          <w:rFonts w:cs="Aptos"/>
          <w:color w:val="000000"/>
          <w:sz w:val="24"/>
          <w:szCs w:val="24"/>
        </w:rPr>
        <w:t>I - pertencentes a comunidade indígena, quilombola, cigana ou circense;</w:t>
      </w:r>
    </w:p>
    <w:p>
      <w:pPr>
        <w:pStyle w:val="Normal"/>
        <w:spacing w:lineRule="auto" w:line="276" w:before="120" w:after="120"/>
        <w:ind w:right="120"/>
        <w:jc w:val="both"/>
        <w:rPr>
          <w:rFonts w:cs="Aptos"/>
          <w:color w:val="000000"/>
          <w:sz w:val="24"/>
          <w:szCs w:val="24"/>
        </w:rPr>
      </w:pPr>
      <w:r>
        <w:rPr>
          <w:rFonts w:cs="Aptos"/>
          <w:color w:val="000000"/>
          <w:sz w:val="24"/>
          <w:szCs w:val="24"/>
        </w:rPr>
        <w:t>II - pertencentes a população nômade ou itinerante; ou</w:t>
      </w:r>
    </w:p>
    <w:p>
      <w:pPr>
        <w:pStyle w:val="Normal"/>
        <w:spacing w:lineRule="auto" w:line="276" w:before="120" w:after="120"/>
        <w:ind w:right="120"/>
        <w:jc w:val="both"/>
        <w:rPr/>
      </w:pPr>
      <w:r>
        <w:rPr>
          <w:rFonts w:cs="Aptos"/>
          <w:color w:val="000000"/>
          <w:sz w:val="24"/>
          <w:szCs w:val="24"/>
        </w:rPr>
        <w:t>III - que se encontrem em situação de rua.</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spacing w:lineRule="auto" w:line="276" w:before="120" w:after="120"/>
        <w:ind w:right="120"/>
        <w:jc w:val="both"/>
        <w:rPr/>
      </w:pPr>
      <w:r>
        <w:rPr>
          <w:rFonts w:cs="Aptos"/>
          <w:color w:val="000000"/>
          <w:sz w:val="24"/>
          <w:szCs w:val="24"/>
        </w:rPr>
        <w:t xml:space="preserve">Se o agente cultural for </w:t>
      </w:r>
      <w:r>
        <w:rPr>
          <w:rFonts w:cs="Aptos"/>
          <w:b/>
          <w:color w:val="000000"/>
          <w:sz w:val="24"/>
          <w:szCs w:val="24"/>
        </w:rPr>
        <w:t>pessoa jurídica</w:t>
      </w:r>
      <w:r>
        <w:rPr>
          <w:rFonts w:cs="Aptos"/>
          <w:color w:val="000000"/>
          <w:sz w:val="24"/>
          <w:szCs w:val="24"/>
        </w:rPr>
        <w:t xml:space="preserve">: </w:t>
      </w:r>
    </w:p>
    <w:p>
      <w:pPr>
        <w:pStyle w:val="Normal"/>
        <w:spacing w:lineRule="auto" w:line="276" w:before="120" w:after="120"/>
        <w:ind w:right="120"/>
        <w:jc w:val="both"/>
        <w:rPr>
          <w:rFonts w:cs="Aptos"/>
          <w:color w:val="000000"/>
          <w:sz w:val="24"/>
          <w:szCs w:val="24"/>
        </w:rPr>
      </w:pPr>
      <w:r>
        <w:rPr>
          <w:rFonts w:cs="Aptos"/>
          <w:color w:val="000000"/>
          <w:sz w:val="24"/>
          <w:szCs w:val="24"/>
        </w:rPr>
        <w:t>I - inscrição no cadastro nacional de pessoa jurídica - CNPJ, emitida no site da Secretaria da Receita Federal do Brasil;</w:t>
      </w:r>
    </w:p>
    <w:p>
      <w:pPr>
        <w:pStyle w:val="Normal"/>
        <w:spacing w:lineRule="auto" w:line="276" w:before="120" w:after="120"/>
        <w:ind w:right="120"/>
        <w:jc w:val="both"/>
        <w:rPr>
          <w:rFonts w:cs="Aptos"/>
          <w:color w:val="000000"/>
          <w:sz w:val="24"/>
          <w:szCs w:val="24"/>
        </w:rPr>
      </w:pPr>
      <w:r>
        <w:rPr>
          <w:rFonts w:cs="Aptos"/>
          <w:color w:val="000000"/>
          <w:sz w:val="24"/>
          <w:szCs w:val="24"/>
        </w:rPr>
        <w:t>II - atos constitutivos, qual seja o contrato social, nos casos de pessoas jurídicas com fins lucrativos, ou estatuto, nos casos de organizações da sociedade civil;</w:t>
      </w:r>
    </w:p>
    <w:p>
      <w:pPr>
        <w:pStyle w:val="Normal"/>
        <w:spacing w:lineRule="auto" w:line="276" w:before="120" w:after="120"/>
        <w:ind w:right="120"/>
        <w:jc w:val="both"/>
        <w:rPr>
          <w:rFonts w:cs="Aptos"/>
          <w:color w:val="000000"/>
          <w:sz w:val="24"/>
          <w:szCs w:val="24"/>
        </w:rPr>
      </w:pPr>
      <w:r>
        <w:rPr>
          <w:rFonts w:cs="Aptos"/>
          <w:color w:val="000000"/>
          <w:sz w:val="24"/>
          <w:szCs w:val="24"/>
        </w:rPr>
        <w:t>III – documento pessoal do agente cultural que contenha RG e CPF (Ex.: Carteira de Identidade, Carteira Nacional de Habilitação – CNH, Carteira de Trabalho, etc);</w:t>
      </w:r>
    </w:p>
    <w:p>
      <w:pPr>
        <w:pStyle w:val="Normal"/>
        <w:spacing w:lineRule="auto" w:line="276" w:before="120" w:after="120"/>
        <w:ind w:right="120"/>
        <w:jc w:val="both"/>
        <w:rPr>
          <w:rFonts w:cs="Aptos"/>
          <w:color w:val="000000"/>
          <w:sz w:val="24"/>
          <w:szCs w:val="24"/>
        </w:rPr>
      </w:pPr>
      <w:r>
        <w:rPr>
          <w:rFonts w:cs="Aptos"/>
          <w:color w:val="000000"/>
          <w:sz w:val="24"/>
          <w:szCs w:val="24"/>
        </w:rPr>
        <w:t>IV - certidão negativa de falência e recuperação judicial, expedida pelo Tribunal de Justiça estadual, nos casos de pessoas jurídicas com fins lucrativos;</w:t>
      </w:r>
    </w:p>
    <w:p>
      <w:pPr>
        <w:pStyle w:val="Normal"/>
        <w:spacing w:lineRule="auto" w:line="276" w:before="120" w:after="120"/>
        <w:ind w:right="120"/>
        <w:jc w:val="both"/>
        <w:rPr>
          <w:rFonts w:cs="Aptos"/>
          <w:color w:val="000000"/>
          <w:sz w:val="24"/>
          <w:szCs w:val="24"/>
        </w:rPr>
      </w:pPr>
      <w:r>
        <w:rPr>
          <w:rFonts w:cs="Aptos"/>
          <w:color w:val="000000"/>
          <w:sz w:val="24"/>
          <w:szCs w:val="24"/>
        </w:rPr>
        <w:t>V - certidão negativa de débitos relativos a Créditos Tributários Federais e à Dívida Ativa da União;</w:t>
      </w:r>
    </w:p>
    <w:p>
      <w:pPr>
        <w:pStyle w:val="Normal"/>
        <w:spacing w:lineRule="auto" w:line="276" w:before="120" w:after="120"/>
        <w:ind w:right="120"/>
        <w:jc w:val="both"/>
        <w:rPr>
          <w:rFonts w:cs="Aptos"/>
          <w:color w:val="000000"/>
          <w:sz w:val="24"/>
          <w:szCs w:val="24"/>
        </w:rPr>
      </w:pPr>
      <w:r>
        <w:rPr>
          <w:rFonts w:cs="Aptos"/>
          <w:color w:val="000000"/>
          <w:sz w:val="24"/>
          <w:szCs w:val="24"/>
        </w:rPr>
        <w:t>VI - certidões negativas de débitos estaduais e municipais, expedidas pela Prefeitura de Ibiraiaras;</w:t>
      </w:r>
    </w:p>
    <w:p>
      <w:pPr>
        <w:pStyle w:val="Normal"/>
        <w:spacing w:lineRule="auto" w:line="276" w:before="120" w:after="120"/>
        <w:ind w:right="120"/>
        <w:jc w:val="both"/>
        <w:rPr>
          <w:rFonts w:cs="Aptos"/>
          <w:color w:val="000000"/>
          <w:sz w:val="24"/>
          <w:szCs w:val="24"/>
        </w:rPr>
      </w:pPr>
      <w:r>
        <w:rPr>
          <w:rFonts w:cs="Aptos"/>
          <w:color w:val="000000"/>
          <w:sz w:val="24"/>
          <w:szCs w:val="24"/>
        </w:rPr>
        <w:t>VII - certificado de regularidade do Fundo de Garantia do Tempo de Serviço - CRF/FGTS;</w:t>
      </w:r>
    </w:p>
    <w:p>
      <w:pPr>
        <w:pStyle w:val="Normal"/>
        <w:spacing w:lineRule="auto" w:line="276" w:before="120" w:after="120"/>
        <w:ind w:right="120"/>
        <w:jc w:val="both"/>
        <w:rPr>
          <w:rFonts w:cs="Aptos"/>
          <w:color w:val="000000"/>
          <w:sz w:val="24"/>
          <w:szCs w:val="24"/>
        </w:rPr>
      </w:pPr>
      <w:r>
        <w:rPr>
          <w:rFonts w:cs="Aptos"/>
          <w:color w:val="000000"/>
          <w:sz w:val="24"/>
          <w:szCs w:val="24"/>
        </w:rPr>
        <w:t>VIII - certidão negativa de débitos trabalhistas - CNDT, emitida no site do Tribunal Superior do Trabalho; </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spacing w:lineRule="auto" w:line="276" w:before="120" w:after="120"/>
        <w:ind w:right="120"/>
        <w:jc w:val="both"/>
        <w:rPr/>
      </w:pPr>
      <w:r>
        <w:rPr>
          <w:rFonts w:cs="Aptos"/>
          <w:color w:val="000000"/>
          <w:sz w:val="24"/>
          <w:szCs w:val="24"/>
        </w:rPr>
        <w:t xml:space="preserve">Se o agente cultural for </w:t>
      </w:r>
      <w:r>
        <w:rPr>
          <w:rFonts w:cs="Aptos"/>
          <w:b/>
          <w:color w:val="000000"/>
          <w:sz w:val="24"/>
          <w:szCs w:val="24"/>
        </w:rPr>
        <w:t>grupo ou coletivo sem personalidade jurídica (sem CNPJ):</w:t>
      </w:r>
    </w:p>
    <w:p>
      <w:pPr>
        <w:pStyle w:val="Normal"/>
        <w:spacing w:lineRule="auto" w:line="276" w:before="120" w:after="120"/>
        <w:ind w:right="120"/>
        <w:jc w:val="both"/>
        <w:rPr>
          <w:rFonts w:cs="Aptos"/>
          <w:color w:val="000000"/>
          <w:sz w:val="24"/>
          <w:szCs w:val="24"/>
        </w:rPr>
      </w:pPr>
      <w:r>
        <w:rPr>
          <w:rFonts w:cs="Aptos"/>
          <w:color w:val="000000"/>
          <w:sz w:val="24"/>
          <w:szCs w:val="24"/>
        </w:rPr>
        <w:t>I – documento pessoal do agente cultural que contenha RG e CPF (Ex.: Carteira de Identidade, Carteira Nacional de Habilitação – CNH, Carteira de Trabalho, etc);</w:t>
      </w:r>
    </w:p>
    <w:p>
      <w:pPr>
        <w:pStyle w:val="Normal"/>
        <w:spacing w:lineRule="auto" w:line="276" w:before="120" w:after="120"/>
        <w:ind w:right="120"/>
        <w:jc w:val="both"/>
        <w:rPr>
          <w:rFonts w:cs="Aptos"/>
          <w:color w:val="000000"/>
          <w:sz w:val="24"/>
          <w:szCs w:val="24"/>
        </w:rPr>
      </w:pPr>
      <w:r>
        <w:rPr>
          <w:rFonts w:cs="Aptos"/>
          <w:color w:val="000000"/>
          <w:sz w:val="24"/>
          <w:szCs w:val="24"/>
        </w:rPr>
        <w:t>II - certidão negativa de débitos relativos a créditos tributários federais e Dívida Ativa da União em nome do representante do grupo;</w:t>
      </w:r>
    </w:p>
    <w:p>
      <w:pPr>
        <w:pStyle w:val="Normal"/>
        <w:spacing w:lineRule="auto" w:line="276" w:before="120" w:after="120"/>
        <w:ind w:right="120"/>
        <w:jc w:val="both"/>
        <w:rPr>
          <w:rFonts w:cs="Aptos"/>
          <w:color w:val="000000"/>
          <w:sz w:val="24"/>
          <w:szCs w:val="24"/>
        </w:rPr>
      </w:pPr>
      <w:r>
        <w:rPr>
          <w:rFonts w:cs="Aptos"/>
          <w:color w:val="000000"/>
          <w:sz w:val="24"/>
          <w:szCs w:val="24"/>
        </w:rPr>
        <w:t>II - certidões negativas de débitos relativas aos créditos tributários estaduais e municipais, expedidas pela  Prefeitura de Ibiraiaras em nome do representante do grupo;</w:t>
      </w:r>
    </w:p>
    <w:p>
      <w:pPr>
        <w:pStyle w:val="Normal"/>
        <w:spacing w:lineRule="auto" w:line="276" w:before="120" w:after="120"/>
        <w:ind w:right="120"/>
        <w:jc w:val="both"/>
        <w:rPr>
          <w:rFonts w:cs="Aptos"/>
          <w:color w:val="000000"/>
          <w:sz w:val="24"/>
          <w:szCs w:val="24"/>
        </w:rPr>
      </w:pPr>
      <w:r>
        <w:rPr>
          <w:rFonts w:cs="Aptos"/>
          <w:color w:val="000000"/>
          <w:sz w:val="24"/>
          <w:szCs w:val="24"/>
        </w:rPr>
        <w:t>IV - certidão negativa de débitos trabalhistas - CNDT, emitida no site do Tribunal Superior do Trabalho em nome do representante do grupo; </w:t>
      </w:r>
    </w:p>
    <w:p>
      <w:pPr>
        <w:pStyle w:val="Normal"/>
        <w:spacing w:lineRule="auto" w:line="276" w:before="120" w:after="120"/>
        <w:ind w:right="120"/>
        <w:jc w:val="both"/>
        <w:rPr>
          <w:rFonts w:cs="Aptos"/>
          <w:color w:val="000000"/>
          <w:sz w:val="24"/>
          <w:szCs w:val="24"/>
        </w:rPr>
      </w:pPr>
      <w:r>
        <w:rPr>
          <w:rFonts w:cs="Aptos"/>
          <w:color w:val="000000"/>
          <w:sz w:val="24"/>
          <w:szCs w:val="24"/>
        </w:rPr>
        <w:t>V - comprovante de residência, por meio da apresentação de contas relativas à residência ou de declaração assinada pelo agente cultural, em nome do representante do grupo.</w:t>
      </w:r>
    </w:p>
    <w:p>
      <w:pPr>
        <w:pStyle w:val="Normal"/>
        <w:spacing w:lineRule="auto" w:line="276" w:before="120" w:after="120"/>
        <w:ind w:right="120"/>
        <w:jc w:val="both"/>
        <w:rPr>
          <w:rFonts w:cs="Aptos"/>
          <w:color w:val="000000"/>
          <w:sz w:val="24"/>
          <w:szCs w:val="24"/>
        </w:rPr>
      </w:pPr>
      <w:r>
        <w:rPr>
          <w:rFonts w:cs="Aptos"/>
          <w:color w:val="000000"/>
          <w:sz w:val="24"/>
          <w:szCs w:val="24"/>
        </w:rPr>
      </w:r>
    </w:p>
    <w:p>
      <w:pPr>
        <w:pStyle w:val="Normal"/>
        <w:spacing w:lineRule="auto" w:line="276" w:before="120" w:after="120"/>
        <w:ind w:right="120"/>
        <w:jc w:val="both"/>
        <w:rPr>
          <w:rFonts w:cs="Aptos"/>
          <w:color w:val="000000"/>
          <w:sz w:val="24"/>
          <w:szCs w:val="24"/>
        </w:rPr>
      </w:pPr>
      <w:r>
        <w:rPr>
          <w:rFonts w:cs="Aptos"/>
          <w:color w:val="000000"/>
          <w:sz w:val="24"/>
          <w:szCs w:val="24"/>
        </w:rPr>
        <w:t>As certidões positivas com efeito de negativas servirão como certidões negativas, desde que não haja referência expressa de impossibilidade de celebrar instrumentos jurídicos com a administração pública.</w:t>
      </w:r>
    </w:p>
    <w:p>
      <w:pPr>
        <w:pStyle w:val="Normal"/>
        <w:spacing w:lineRule="auto" w:line="276" w:before="120" w:after="120"/>
        <w:ind w:right="120"/>
        <w:jc w:val="both"/>
        <w:rPr>
          <w:rFonts w:cs="Aptos"/>
          <w:color w:val="000000"/>
          <w:sz w:val="24"/>
          <w:szCs w:val="24"/>
        </w:rPr>
      </w:pPr>
      <w:r>
        <w:rPr>
          <w:rFonts w:cs="Aptos"/>
          <w:color w:val="000000"/>
          <w:sz w:val="24"/>
          <w:szCs w:val="24"/>
        </w:rPr>
      </w:r>
    </w:p>
    <w:p>
      <w:pPr>
        <w:pStyle w:val="Normal"/>
        <w:spacing w:lineRule="auto" w:line="276" w:before="120" w:after="120"/>
        <w:ind w:right="120"/>
        <w:jc w:val="both"/>
        <w:rPr/>
      </w:pPr>
      <w:r>
        <w:rPr>
          <w:rFonts w:cs="Aptos"/>
          <w:b/>
          <w:color w:val="000000"/>
          <w:sz w:val="24"/>
          <w:szCs w:val="24"/>
        </w:rPr>
        <w:t xml:space="preserve">Atenção! </w:t>
      </w:r>
      <w:r>
        <w:rPr>
          <w:rFonts w:cs="Aptos"/>
          <w:color w:val="000000"/>
          <w:sz w:val="24"/>
          <w:szCs w:val="24"/>
        </w:rPr>
        <w:t>Caso o agente cultural esteja em débito com o ente público responsável pela seleção e com a União não será possível o recebimento dos recursos de que trata este Edital.</w:t>
      </w:r>
    </w:p>
    <w:p>
      <w:pPr>
        <w:pStyle w:val="Normal"/>
        <w:spacing w:lineRule="auto" w:line="276" w:before="120" w:after="120"/>
        <w:ind w:right="120"/>
        <w:jc w:val="both"/>
        <w:rPr>
          <w:rFonts w:cs="Aptos"/>
          <w:color w:val="000000"/>
          <w:sz w:val="24"/>
          <w:szCs w:val="24"/>
        </w:rPr>
      </w:pPr>
      <w:bookmarkStart w:id="1" w:name="_Hlk167720092"/>
      <w:r>
        <w:rPr>
          <w:rFonts w:cs="Aptos"/>
          <w:color w:val="000000"/>
          <w:sz w:val="24"/>
          <w:szCs w:val="24"/>
        </w:rPr>
        <w:t>Na hipótese de inabilitação de alguns contemplados, serão convocados outros agentes culturais para apresentarem os documentos de habilitação, obedecendo a ordem de classificação dos projetos.</w:t>
      </w:r>
      <w:bookmarkEnd w:id="1"/>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 xml:space="preserve"> </w:t>
      </w:r>
      <w:r>
        <w:rPr>
          <w:rFonts w:cs="Aptos"/>
          <w:b/>
          <w:color w:val="000000"/>
          <w:sz w:val="24"/>
          <w:szCs w:val="24"/>
        </w:rPr>
        <w:t>Recurso da etapa de habilitação</w:t>
      </w:r>
    </w:p>
    <w:p>
      <w:pPr>
        <w:pStyle w:val="Normal"/>
        <w:spacing w:lineRule="auto" w:line="276" w:before="120" w:after="120"/>
        <w:ind w:right="120"/>
        <w:jc w:val="both"/>
        <w:rPr/>
      </w:pPr>
      <w:r>
        <w:rPr>
          <w:rFonts w:cs="Aptos"/>
          <w:color w:val="000000"/>
          <w:sz w:val="24"/>
          <w:szCs w:val="24"/>
        </w:rPr>
        <w:t xml:space="preserve">Contra a decisão da fase de habilitação, caberá recurso destinado à Secretaria Municipal de Educação, Cultura, Esporte e Turismo, que deve ser apresentado por meio físico no prazo de </w:t>
      </w:r>
      <w:r>
        <w:rPr>
          <w:rFonts w:cs="Aptos"/>
          <w:b/>
          <w:bCs/>
          <w:color w:val="000000"/>
          <w:sz w:val="24"/>
          <w:szCs w:val="24"/>
        </w:rPr>
        <w:t>3 dias úteis</w:t>
      </w:r>
      <w:r>
        <w:rPr>
          <w:rFonts w:cs="Aptos"/>
          <w:color w:val="000000"/>
          <w:sz w:val="24"/>
          <w:szCs w:val="24"/>
        </w:rPr>
        <w:t xml:space="preserve"> a contar da publicação do resultado, considerando-se para início da contagem o primeiro dia útil posterior à publicação.</w:t>
      </w:r>
    </w:p>
    <w:p>
      <w:pPr>
        <w:pStyle w:val="Normal"/>
        <w:spacing w:lineRule="auto" w:line="276" w:before="120" w:after="120"/>
        <w:ind w:right="120"/>
        <w:jc w:val="both"/>
        <w:rPr>
          <w:b/>
          <w:bCs/>
        </w:rPr>
      </w:pPr>
      <w:r>
        <w:rPr>
          <w:rFonts w:cs="Aptos"/>
          <w:b/>
          <w:bCs/>
          <w:color w:val="000000"/>
          <w:sz w:val="24"/>
          <w:szCs w:val="24"/>
        </w:rPr>
        <w:t>Os recursos apresentados após o prazo não serão avaliados.</w:t>
      </w:r>
    </w:p>
    <w:p>
      <w:pPr>
        <w:pStyle w:val="Normal"/>
        <w:spacing w:lineRule="auto" w:line="276" w:before="120" w:after="120"/>
        <w:ind w:right="120"/>
        <w:jc w:val="both"/>
        <w:rPr>
          <w:rFonts w:cs="Aptos"/>
          <w:color w:val="000000"/>
          <w:sz w:val="24"/>
          <w:szCs w:val="24"/>
        </w:rPr>
      </w:pPr>
      <w:r>
        <w:rPr>
          <w:rFonts w:cs="Aptos"/>
          <w:color w:val="000000"/>
          <w:sz w:val="24"/>
          <w:szCs w:val="24"/>
        </w:rPr>
        <w:t>Após o julgamento dos recursos, o resultado final da etapa de habilitação será divulgado no site oficial do Município em www.ibiraiaras.rs.gov.br/pnab/</w:t>
      </w:r>
    </w:p>
    <w:p>
      <w:pPr>
        <w:pStyle w:val="Normal"/>
        <w:spacing w:lineRule="auto" w:line="276" w:before="120" w:after="120"/>
        <w:ind w:right="120"/>
        <w:jc w:val="both"/>
        <w:rPr>
          <w:b/>
          <w:bCs/>
        </w:rPr>
      </w:pPr>
      <w:r>
        <w:rPr>
          <w:rFonts w:cs="Aptos"/>
          <w:b/>
          <w:bCs/>
          <w:color w:val="000000"/>
          <w:sz w:val="24"/>
          <w:szCs w:val="24"/>
        </w:rPr>
        <w:t>Após essa etapa, não caberá mais recurso.</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numPr>
          <w:ilvl w:val="0"/>
          <w:numId w:val="1"/>
        </w:numPr>
        <w:spacing w:lineRule="auto" w:line="276" w:before="120" w:after="120"/>
        <w:ind w:hanging="360" w:left="720" w:right="120"/>
        <w:jc w:val="both"/>
        <w:rPr>
          <w:rFonts w:cs="Aptos"/>
          <w:b/>
          <w:color w:val="000000"/>
          <w:sz w:val="24"/>
          <w:szCs w:val="24"/>
        </w:rPr>
      </w:pPr>
      <w:r>
        <w:rPr>
          <w:rFonts w:cs="Aptos"/>
          <w:b/>
          <w:color w:val="000000"/>
          <w:sz w:val="24"/>
          <w:szCs w:val="24"/>
        </w:rPr>
        <w:t>ASSINATURA DO TERMO DE EXECUÇÃO CULTURAL E RECEBIMENTO DOS RECURSOS FINANCEIROS</w:t>
      </w:r>
    </w:p>
    <w:p>
      <w:pPr>
        <w:pStyle w:val="Normal"/>
        <w:numPr>
          <w:ilvl w:val="1"/>
          <w:numId w:val="1"/>
        </w:numPr>
        <w:spacing w:lineRule="auto" w:line="276" w:before="120" w:after="120"/>
        <w:ind w:hanging="405" w:left="765" w:right="120"/>
        <w:jc w:val="both"/>
        <w:rPr/>
      </w:pPr>
      <w:r>
        <w:rPr>
          <w:rFonts w:cs="Aptos"/>
          <w:b/>
          <w:color w:val="000000"/>
          <w:sz w:val="24"/>
          <w:szCs w:val="24"/>
        </w:rPr>
        <w:t>Termo de Execução Cultural</w:t>
      </w:r>
      <w:r>
        <w:rPr>
          <w:rFonts w:cs="Aptos"/>
          <w:color w:val="000000"/>
          <w:sz w:val="24"/>
          <w:szCs w:val="24"/>
        </w:rPr>
        <w:t xml:space="preserve"> </w:t>
      </w:r>
    </w:p>
    <w:p>
      <w:pPr>
        <w:pStyle w:val="Normal"/>
        <w:spacing w:lineRule="auto" w:line="276" w:before="120" w:after="120"/>
        <w:ind w:right="120"/>
        <w:jc w:val="both"/>
        <w:rPr>
          <w:color w:themeColor="dark1" w:val="000000"/>
          <w:sz w:val="24"/>
          <w:szCs w:val="24"/>
        </w:rPr>
      </w:pPr>
      <w:r>
        <w:rPr>
          <w:color w:themeColor="dark1" w:val="000000"/>
          <w:sz w:val="24"/>
          <w:szCs w:val="24"/>
        </w:rPr>
        <w:t>Finalizada a fase de habilitação, o agente cultural contemplado será convocado a assinar o Termo de Execução Cultural, conforme Anexo V deste Edital, de forma presencial ou eletrônica.</w:t>
      </w:r>
    </w:p>
    <w:p>
      <w:pPr>
        <w:pStyle w:val="Normal"/>
        <w:spacing w:lineRule="auto" w:line="276" w:before="120" w:after="120"/>
        <w:ind w:right="120"/>
        <w:jc w:val="both"/>
        <w:rPr>
          <w:rFonts w:cs="Aptos"/>
          <w:color w:val="000000"/>
          <w:sz w:val="24"/>
          <w:szCs w:val="24"/>
        </w:rPr>
      </w:pPr>
      <w:r>
        <w:rPr>
          <w:rFonts w:cs="Aptos"/>
          <w:color w:val="000000"/>
          <w:sz w:val="24"/>
          <w:szCs w:val="24"/>
        </w:rPr>
        <w:t>O Termo de Execução Cultural corresponde ao documento a ser assinado pelo agente cultural selecionado neste Edital e pelo Município de Ibiraiaras contendo as obrigações dos assinantes do Termo.</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numPr>
          <w:ilvl w:val="1"/>
          <w:numId w:val="1"/>
        </w:numPr>
        <w:spacing w:lineRule="auto" w:line="276" w:before="120" w:after="120"/>
        <w:ind w:hanging="405" w:left="765" w:right="120"/>
        <w:jc w:val="both"/>
        <w:rPr/>
      </w:pPr>
      <w:r>
        <w:rPr>
          <w:rFonts w:cs="Aptos"/>
          <w:b/>
          <w:color w:val="000000"/>
          <w:sz w:val="24"/>
          <w:szCs w:val="24"/>
        </w:rPr>
        <w:t>Recebimento dos recursos</w:t>
      </w:r>
      <w:r>
        <w:rPr>
          <w:rFonts w:cs="Aptos"/>
          <w:color w:val="000000"/>
          <w:sz w:val="24"/>
          <w:szCs w:val="24"/>
        </w:rPr>
        <w:t xml:space="preserve"> </w:t>
      </w:r>
      <w:r>
        <w:rPr>
          <w:rFonts w:cs="Aptos"/>
          <w:b/>
          <w:color w:val="000000"/>
          <w:sz w:val="24"/>
          <w:szCs w:val="24"/>
        </w:rPr>
        <w:t>financeiros</w:t>
      </w:r>
    </w:p>
    <w:p>
      <w:pPr>
        <w:pStyle w:val="Normal"/>
        <w:spacing w:lineRule="auto" w:line="276" w:before="120" w:after="120"/>
        <w:ind w:right="120"/>
        <w:jc w:val="both"/>
        <w:rPr>
          <w:rFonts w:cs="Aptos"/>
          <w:color w:val="000000"/>
          <w:sz w:val="24"/>
          <w:szCs w:val="24"/>
        </w:rPr>
      </w:pPr>
      <w:r>
        <w:rPr>
          <w:rFonts w:cs="Aptos"/>
          <w:color w:val="000000"/>
          <w:sz w:val="24"/>
          <w:szCs w:val="24"/>
        </w:rPr>
        <w:t>Após a assinatura do Termo de Execução Cultural, o agente cultural receberá os recursos em conta bancária específica aberta para o recebimento dos recursos deste Edital, em desembolso único ou em parcelas.</w:t>
      </w:r>
    </w:p>
    <w:p>
      <w:pPr>
        <w:pStyle w:val="Normal"/>
        <w:spacing w:lineRule="auto" w:line="276" w:before="120" w:after="120"/>
        <w:ind w:right="120"/>
        <w:jc w:val="both"/>
        <w:rPr/>
      </w:pPr>
      <w:r>
        <w:rPr>
          <w:rFonts w:cs="Aptos"/>
          <w:b/>
          <w:bCs/>
          <w:color w:val="000000"/>
          <w:sz w:val="24"/>
          <w:szCs w:val="24"/>
        </w:rPr>
        <w:t>Para recebimento dos recursos, o agente cultural deve abrir conta bancária específica,</w:t>
      </w:r>
      <w:r>
        <w:rPr>
          <w:rFonts w:cs="Aptos"/>
          <w:color w:val="000000"/>
          <w:sz w:val="24"/>
          <w:szCs w:val="24"/>
        </w:rPr>
        <w:t xml:space="preserve"> em instituição financeira pública isenta de tarifas bancárias ou em instituição financeira privada.</w:t>
      </w:r>
    </w:p>
    <w:p>
      <w:pPr>
        <w:pStyle w:val="Normal"/>
        <w:spacing w:lineRule="auto" w:line="276" w:before="120" w:after="120"/>
        <w:ind w:right="120"/>
        <w:jc w:val="both"/>
        <w:rPr/>
      </w:pPr>
      <w:r>
        <w:rPr>
          <w:rFonts w:cs="Aptos"/>
          <w:b/>
          <w:color w:val="000000"/>
          <w:sz w:val="24"/>
          <w:szCs w:val="24"/>
        </w:rPr>
        <w:t>Atenção!</w:t>
      </w:r>
      <w:r>
        <w:rPr>
          <w:rFonts w:cs="Aptos"/>
          <w:color w:val="000000"/>
          <w:sz w:val="24"/>
          <w:szCs w:val="24"/>
        </w:rPr>
        <w:t xml:space="preserve"> A assinatura do Termo de Execução Cultural e o recebimento dos recursos estão condicionados à existência de disponibilidade orçamentária e financeira, caracterizando a seleção como expectativa de direito do agente cultural. </w:t>
      </w:r>
    </w:p>
    <w:p>
      <w:pPr>
        <w:pStyle w:val="Normal"/>
        <w:spacing w:lineRule="auto" w:line="276" w:before="120" w:after="120"/>
        <w:ind w:left="120" w:right="120"/>
        <w:jc w:val="both"/>
        <w:rPr>
          <w:rFonts w:cs="Aptos"/>
          <w:color w:val="000000"/>
          <w:sz w:val="24"/>
          <w:szCs w:val="24"/>
        </w:rPr>
      </w:pPr>
      <w:r>
        <w:rPr>
          <w:rFonts w:cs="Aptos"/>
          <w:color w:val="000000"/>
          <w:sz w:val="24"/>
          <w:szCs w:val="24"/>
        </w:rPr>
        <w:t> </w:t>
      </w:r>
    </w:p>
    <w:p>
      <w:pPr>
        <w:pStyle w:val="Normal"/>
        <w:numPr>
          <w:ilvl w:val="0"/>
          <w:numId w:val="1"/>
        </w:numPr>
        <w:spacing w:lineRule="auto" w:line="276" w:before="120" w:after="120"/>
        <w:ind w:hanging="360" w:left="720" w:right="120"/>
        <w:jc w:val="both"/>
        <w:rPr>
          <w:rFonts w:cs="Aptos"/>
          <w:b/>
          <w:color w:val="000000"/>
          <w:sz w:val="24"/>
          <w:szCs w:val="24"/>
        </w:rPr>
      </w:pPr>
      <w:r>
        <w:rPr>
          <w:rFonts w:cs="Aptos"/>
          <w:b/>
          <w:color w:val="000000"/>
          <w:sz w:val="24"/>
          <w:szCs w:val="24"/>
        </w:rPr>
        <w:t>DIVULGAÇÃO DOS PROJETOS</w:t>
      </w:r>
    </w:p>
    <w:p>
      <w:pPr>
        <w:pStyle w:val="Normal"/>
        <w:spacing w:lineRule="auto" w:line="276" w:before="120" w:after="120"/>
        <w:ind w:left="120" w:right="120"/>
        <w:jc w:val="both"/>
        <w:rPr>
          <w:rFonts w:cs="Aptos"/>
          <w:color w:val="000000"/>
          <w:sz w:val="24"/>
          <w:szCs w:val="24"/>
        </w:rPr>
      </w:pPr>
      <w:r>
        <w:rPr>
          <w:rFonts w:cs="Aptos"/>
          <w:color w:val="000000"/>
          <w:sz w:val="24"/>
          <w:szCs w:val="24"/>
        </w:rPr>
        <w:t>Os produtos artístico-culturais e as peças de divulgação dos projetos exibirão as marcas do Governo Federal e do Município de Ibiraiaras de acordo com as orientações técnicas do manual de aplicação de marcas divulgado pelo Ministério da Cultura, observando as vedações existentes na Lei nº 9.504/1997 (Lei das Eleições) nos três meses que antecedem as eleições.</w:t>
      </w:r>
    </w:p>
    <w:p>
      <w:pPr>
        <w:pStyle w:val="Normal"/>
        <w:spacing w:lineRule="auto" w:line="276" w:before="120" w:after="120"/>
        <w:ind w:left="120" w:right="120"/>
        <w:jc w:val="both"/>
        <w:rPr>
          <w:rFonts w:cs="Aptos"/>
          <w:color w:val="000000"/>
          <w:sz w:val="24"/>
          <w:szCs w:val="24"/>
        </w:rPr>
      </w:pPr>
      <w:r>
        <w:rPr>
          <w:rFonts w:cs="Aptos"/>
          <w:color w:val="000000"/>
          <w:sz w:val="24"/>
          <w:szCs w:val="24"/>
        </w:rPr>
        <w:t>O material de divulgação dos projetos e seus produtos será disponibilizado em formatos acessíveis a pessoas com deficiência e conterá informações sobre os recursos de acessibilidade disponibilizados.</w:t>
      </w:r>
    </w:p>
    <w:p>
      <w:pPr>
        <w:pStyle w:val="Normal"/>
        <w:spacing w:lineRule="auto" w:line="276" w:before="120" w:after="120"/>
        <w:ind w:left="120" w:right="120"/>
        <w:jc w:val="both"/>
        <w:rPr>
          <w:rFonts w:cs="Aptos"/>
          <w:color w:val="000000"/>
          <w:sz w:val="24"/>
          <w:szCs w:val="24"/>
        </w:rPr>
      </w:pPr>
      <w:r>
        <w:rPr>
          <w:rFonts w:cs="Aptos"/>
          <w:color w:val="000000"/>
          <w:sz w:val="24"/>
          <w:szCs w:val="24"/>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pPr>
        <w:pStyle w:val="Normal"/>
        <w:spacing w:lineRule="auto" w:line="276" w:before="120" w:after="120"/>
        <w:ind w:left="120" w:right="120"/>
        <w:jc w:val="both"/>
        <w:rPr>
          <w:rFonts w:cs="Aptos"/>
          <w:color w:val="000000"/>
          <w:sz w:val="24"/>
          <w:szCs w:val="24"/>
        </w:rPr>
      </w:pPr>
      <w:r>
        <w:rPr>
          <w:rFonts w:cs="Aptos"/>
          <w:color w:val="000000"/>
          <w:sz w:val="24"/>
          <w:szCs w:val="24"/>
        </w:rPr>
        <w:t> </w:t>
      </w:r>
    </w:p>
    <w:p>
      <w:pPr>
        <w:pStyle w:val="Normal"/>
        <w:numPr>
          <w:ilvl w:val="0"/>
          <w:numId w:val="1"/>
        </w:numPr>
        <w:spacing w:lineRule="auto" w:line="276" w:before="120" w:after="120"/>
        <w:ind w:hanging="360" w:left="720" w:right="120"/>
        <w:jc w:val="both"/>
        <w:rPr>
          <w:rFonts w:cs="Aptos"/>
          <w:b/>
          <w:color w:val="000000"/>
          <w:sz w:val="24"/>
          <w:szCs w:val="24"/>
        </w:rPr>
      </w:pPr>
      <w:r>
        <w:rPr>
          <w:rFonts w:cs="Aptos"/>
          <w:b/>
          <w:color w:val="000000"/>
          <w:sz w:val="24"/>
          <w:szCs w:val="24"/>
        </w:rPr>
        <w:t>MONITORAMENTO E AVALIAÇÃO DE RESULTADOS </w:t>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Monitoramento e avaliação realizados pelo Município de Ibiraiaras</w:t>
      </w:r>
    </w:p>
    <w:p>
      <w:pPr>
        <w:pStyle w:val="Normal"/>
        <w:spacing w:lineRule="auto" w:line="276" w:before="120" w:after="120"/>
        <w:ind w:left="120" w:right="120"/>
        <w:jc w:val="both"/>
        <w:rPr>
          <w:color w:themeColor="dark1" w:val="000000"/>
          <w:sz w:val="24"/>
          <w:szCs w:val="24"/>
        </w:rPr>
      </w:pPr>
      <w:r>
        <w:rPr>
          <w:color w:themeColor="dark1" w:val="000000"/>
          <w:sz w:val="24"/>
          <w:szCs w:val="24"/>
        </w:rPr>
        <w:t>Os procedimentos de monitoramento e avaliação dos projetos culturais contemplados, assim como a prestação de informação à Administração Pública, observarão a Lei nº 14.903/2024 e o Decreto nº 11.453/2023 que dispõem sobre os mecanismos de fomento do sistema de financiamento à cultura, observadas às exigências legais de simplificação e de foco no cumprimento do objeto.</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Como o agente cultural presta contas ao Município de Ibiraiaras</w:t>
      </w:r>
    </w:p>
    <w:p>
      <w:pPr>
        <w:pStyle w:val="Normal"/>
        <w:spacing w:lineRule="auto" w:line="276" w:before="120" w:after="120"/>
        <w:ind w:left="120" w:right="120"/>
        <w:jc w:val="both"/>
        <w:rPr>
          <w:color w:themeColor="dark1" w:val="000000"/>
          <w:sz w:val="24"/>
          <w:szCs w:val="24"/>
        </w:rPr>
      </w:pPr>
      <w:r>
        <w:rPr>
          <w:color w:themeColor="dark1" w:val="000000"/>
          <w:sz w:val="24"/>
          <w:szCs w:val="24"/>
        </w:rPr>
        <w:t xml:space="preserve">O agente cultural deve prestar contas por meio da apresentação do Relatório de Objeto da Execução Cultural, conforme documento constante no Anexo VI deste edital. </w:t>
      </w:r>
    </w:p>
    <w:p>
      <w:pPr>
        <w:pStyle w:val="Normal"/>
        <w:spacing w:lineRule="auto" w:line="276" w:before="120" w:after="120"/>
        <w:ind w:left="120" w:right="120"/>
        <w:jc w:val="both"/>
        <w:rPr/>
      </w:pPr>
      <w:r>
        <w:rPr>
          <w:color w:themeColor="dark1" w:val="000000"/>
          <w:sz w:val="24"/>
          <w:szCs w:val="24"/>
        </w:rPr>
        <w:t>O Relatório de Objeto da Execução Cultural, deve ser apresentado a</w:t>
      </w:r>
      <w:r>
        <w:rPr>
          <w:color w:val="000000"/>
          <w:sz w:val="24"/>
          <w:szCs w:val="24"/>
        </w:rPr>
        <w:t>té 60 (sessenta) dias</w:t>
      </w:r>
      <w:r>
        <w:rPr>
          <w:color w:themeColor="dark1" w:val="000000"/>
          <w:sz w:val="24"/>
          <w:szCs w:val="24"/>
        </w:rPr>
        <w:t> a contar do fim da vigência do Termo de Execução Cultural.</w:t>
      </w:r>
    </w:p>
    <w:p>
      <w:pPr>
        <w:pStyle w:val="Normal"/>
        <w:spacing w:lineRule="auto" w:line="276" w:before="120" w:after="120"/>
        <w:ind w:right="120"/>
        <w:jc w:val="both"/>
        <w:rPr>
          <w:rFonts w:cs="Aptos"/>
          <w:color w:val="FF0000"/>
          <w:sz w:val="24"/>
          <w:szCs w:val="24"/>
        </w:rPr>
      </w:pPr>
      <w:r>
        <w:rPr>
          <w:rFonts w:cs="Aptos"/>
          <w:color w:val="FF0000"/>
          <w:sz w:val="24"/>
          <w:szCs w:val="24"/>
        </w:rPr>
      </w:r>
    </w:p>
    <w:p>
      <w:pPr>
        <w:pStyle w:val="Normal"/>
        <w:spacing w:lineRule="auto" w:line="276" w:before="120" w:after="120"/>
        <w:ind w:left="120" w:right="120"/>
        <w:jc w:val="both"/>
        <w:rPr>
          <w:color w:themeColor="dark1" w:val="000000"/>
          <w:sz w:val="24"/>
          <w:szCs w:val="24"/>
        </w:rPr>
      </w:pPr>
      <w:r>
        <w:rPr>
          <w:color w:themeColor="dark1" w:val="000000"/>
          <w:sz w:val="24"/>
          <w:szCs w:val="24"/>
        </w:rPr>
        <w:t>O Relatório Financeiro da Execução Cultural será exigido somente nas seguintes hipóteses:</w:t>
      </w:r>
    </w:p>
    <w:p>
      <w:pPr>
        <w:pStyle w:val="Normal"/>
        <w:spacing w:lineRule="auto" w:line="276" w:before="120" w:after="120"/>
        <w:ind w:left="120" w:right="120"/>
        <w:jc w:val="both"/>
        <w:rPr>
          <w:rFonts w:cs="Aptos"/>
          <w:color w:val="000000"/>
          <w:sz w:val="24"/>
          <w:szCs w:val="24"/>
        </w:rPr>
      </w:pPr>
      <w:r>
        <w:rPr>
          <w:rFonts w:cs="Aptos"/>
          <w:color w:val="000000"/>
          <w:sz w:val="24"/>
          <w:szCs w:val="24"/>
        </w:rPr>
        <w:t>I - quando não estiver comprovado o cumprimento do objeto por meio da apresentação do Relatório Final de Execução do Objeto; ou</w:t>
      </w:r>
    </w:p>
    <w:p>
      <w:pPr>
        <w:pStyle w:val="Normal"/>
        <w:spacing w:lineRule="auto" w:line="276" w:before="120" w:after="120"/>
        <w:ind w:left="120" w:right="120"/>
        <w:jc w:val="both"/>
        <w:rPr/>
      </w:pPr>
      <w:r>
        <w:rPr>
          <w:rFonts w:cs="Aptos"/>
          <w:color w:val="000000"/>
          <w:sz w:val="24"/>
          <w:szCs w:val="24"/>
        </w:rPr>
        <w:t>II - quando for recebida, pela Administração Pública, denúncia de irregularidade na execução da ação cultural, mediante juízo de admissibilidade que avaliará os elementos fáticos apresentados.</w:t>
      </w:r>
    </w:p>
    <w:p>
      <w:pPr>
        <w:pStyle w:val="Normal"/>
        <w:spacing w:lineRule="auto" w:line="276" w:before="120" w:after="120"/>
        <w:ind w:left="120" w:right="120"/>
        <w:jc w:val="both"/>
        <w:rPr>
          <w:rFonts w:cs="Aptos"/>
          <w:color w:val="000000"/>
          <w:sz w:val="24"/>
          <w:szCs w:val="24"/>
        </w:rPr>
      </w:pPr>
      <w:r>
        <w:rPr>
          <w:rFonts w:cs="Aptos"/>
          <w:color w:val="000000"/>
          <w:sz w:val="24"/>
          <w:szCs w:val="24"/>
        </w:rPr>
        <w:t> </w:t>
      </w:r>
    </w:p>
    <w:p>
      <w:pPr>
        <w:pStyle w:val="Normal"/>
        <w:numPr>
          <w:ilvl w:val="0"/>
          <w:numId w:val="1"/>
        </w:numPr>
        <w:spacing w:lineRule="auto" w:line="276" w:before="120" w:after="120"/>
        <w:ind w:hanging="360" w:left="720" w:right="120"/>
        <w:jc w:val="both"/>
        <w:rPr>
          <w:rFonts w:cs="Aptos"/>
          <w:b/>
          <w:color w:val="000000"/>
          <w:sz w:val="24"/>
          <w:szCs w:val="24"/>
        </w:rPr>
      </w:pPr>
      <w:r>
        <w:rPr>
          <w:rFonts w:cs="Aptos"/>
          <w:b/>
          <w:color w:val="000000"/>
          <w:sz w:val="24"/>
          <w:szCs w:val="24"/>
        </w:rPr>
        <w:t>DISPOSIÇÕES FINAIS</w:t>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Desclassificação de projetos</w:t>
      </w:r>
    </w:p>
    <w:p>
      <w:pPr>
        <w:pStyle w:val="Normal"/>
        <w:spacing w:lineRule="auto" w:line="276" w:before="120" w:after="120"/>
        <w:ind w:right="120"/>
        <w:jc w:val="both"/>
        <w:rPr/>
      </w:pPr>
      <w:r>
        <w:rPr>
          <w:rFonts w:cs="Aptos"/>
          <w:color w:val="000000"/>
          <w:sz w:val="24"/>
          <w:szCs w:val="24"/>
        </w:rPr>
        <w:t>Os projetos que apresentem quaisquer formas de preconceito de origem, raça, etnia, gênero, cor, idade ou outras formas de discriminação serão desclassificados, com fundamento no disposto no </w:t>
      </w:r>
      <w:r>
        <w:fldChar w:fldCharType="begin"/>
      </w:r>
      <w:r>
        <w:rPr>
          <w:rStyle w:val="Style"/>
          <w:sz w:val="24"/>
          <w:szCs w:val="24"/>
          <w:rFonts w:cs="Aptos"/>
          <w:color w:val="000000"/>
        </w:rPr>
        <w:instrText xml:space="preserve"> HYPERLINK "http://www.planalto.gov.br/ccivil_03/Constituicao/Constituicao.htm" \l "art3iv"</w:instrText>
      </w:r>
      <w:r>
        <w:rPr>
          <w:rStyle w:val="Style"/>
          <w:sz w:val="24"/>
          <w:szCs w:val="24"/>
          <w:rFonts w:cs="Aptos"/>
          <w:color w:val="000000"/>
        </w:rPr>
        <w:fldChar w:fldCharType="separate"/>
      </w:r>
      <w:r>
        <w:rPr>
          <w:rStyle w:val="Style"/>
          <w:rFonts w:cs="Aptos"/>
          <w:color w:val="000000"/>
          <w:sz w:val="24"/>
          <w:szCs w:val="24"/>
        </w:rPr>
        <w:t>inciso IV do caput do art. 3º da Constituição Federal,</w:t>
      </w:r>
      <w:r>
        <w:rPr>
          <w:rStyle w:val="Style"/>
          <w:sz w:val="24"/>
          <w:szCs w:val="24"/>
          <w:rFonts w:cs="Aptos"/>
          <w:color w:val="000000"/>
        </w:rPr>
        <w:fldChar w:fldCharType="end"/>
      </w:r>
      <w:r>
        <w:rPr>
          <w:rFonts w:cs="Aptos"/>
          <w:color w:val="000000"/>
          <w:sz w:val="24"/>
          <w:szCs w:val="24"/>
        </w:rPr>
        <w:t> garantidos o contraditório e a ampla defesa.</w:t>
      </w:r>
    </w:p>
    <w:p>
      <w:pPr>
        <w:pStyle w:val="Normal"/>
        <w:spacing w:lineRule="auto" w:line="276" w:before="120" w:after="120"/>
        <w:ind w:right="120"/>
        <w:jc w:val="both"/>
        <w:rPr/>
      </w:pPr>
      <w:r>
        <w:rPr>
          <w:rFonts w:cs="Aptos"/>
          <w:b/>
          <w:color w:val="000000"/>
          <w:sz w:val="24"/>
          <w:szCs w:val="24"/>
        </w:rPr>
        <w:t>Atenção!</w:t>
      </w:r>
      <w:r>
        <w:rPr>
          <w:rFonts w:cs="Aptos"/>
          <w:color w:val="000000"/>
          <w:sz w:val="24"/>
          <w:szCs w:val="24"/>
        </w:rPr>
        <w:t xml:space="preserve"> Eventuais irregularidades constatadas a qualquer tempo, implicarão na desclassificação do agente cultural. </w:t>
      </w:r>
    </w:p>
    <w:p>
      <w:pPr>
        <w:pStyle w:val="Normal"/>
        <w:spacing w:lineRule="auto" w:line="276" w:before="120" w:after="120"/>
        <w:ind w:left="120" w:right="120"/>
        <w:jc w:val="both"/>
        <w:rPr>
          <w:rFonts w:cs="Aptos"/>
          <w:b/>
          <w:color w:val="000000"/>
          <w:sz w:val="24"/>
          <w:szCs w:val="24"/>
        </w:rPr>
      </w:pPr>
      <w:r>
        <w:rPr>
          <w:rFonts w:cs="Aptos"/>
          <w:b/>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Acompanhamento das etapas do edital</w:t>
      </w:r>
    </w:p>
    <w:p>
      <w:pPr>
        <w:pStyle w:val="Normal"/>
        <w:spacing w:lineRule="auto" w:line="276" w:before="120" w:after="120"/>
        <w:ind w:right="120"/>
        <w:jc w:val="both"/>
        <w:rPr>
          <w:rFonts w:cs="Aptos"/>
          <w:color w:val="000000"/>
          <w:sz w:val="24"/>
          <w:szCs w:val="24"/>
        </w:rPr>
      </w:pPr>
      <w:r>
        <w:rPr>
          <w:rFonts w:cs="Aptos"/>
          <w:color w:val="000000"/>
          <w:sz w:val="24"/>
          <w:szCs w:val="24"/>
        </w:rPr>
        <w:t>O presente Edital e os seus anexos estão disponíveis no site www.ibiraiaras.rs.gov.br/pnab/</w:t>
      </w:r>
    </w:p>
    <w:p>
      <w:pPr>
        <w:pStyle w:val="Normal"/>
        <w:spacing w:lineRule="auto" w:line="276" w:before="120" w:after="120"/>
        <w:ind w:right="120"/>
        <w:jc w:val="both"/>
        <w:rPr>
          <w:rFonts w:cs="Aptos"/>
          <w:color w:val="000000"/>
          <w:sz w:val="24"/>
          <w:szCs w:val="24"/>
        </w:rPr>
      </w:pPr>
      <w:r>
        <w:rPr>
          <w:rFonts w:cs="Aptos"/>
          <w:color w:val="000000"/>
          <w:sz w:val="24"/>
          <w:szCs w:val="24"/>
        </w:rPr>
        <w:t>O acompanhamento de todas as etapas deste Edital e a observância quanto aos prazos são de inteira responsabilidade dos agentes culturais. Para tanto, devem ficar atentos às publicações no site www.ibiraiaras.rs.gov.br/pnab/ e nas mídias sociais oficiais.</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Informações adicionais</w:t>
      </w:r>
    </w:p>
    <w:p>
      <w:pPr>
        <w:pStyle w:val="Normal"/>
        <w:spacing w:lineRule="auto" w:line="276" w:before="120" w:after="120"/>
        <w:ind w:right="120"/>
        <w:jc w:val="both"/>
        <w:rPr/>
      </w:pPr>
      <w:r>
        <w:rPr>
          <w:rFonts w:cs="Aptos"/>
          <w:color w:val="000000"/>
          <w:sz w:val="24"/>
          <w:szCs w:val="24"/>
        </w:rPr>
        <w:t xml:space="preserve">Demais </w:t>
      </w:r>
      <w:r>
        <w:rPr>
          <w:color w:val="000000"/>
          <w:sz w:val="24"/>
          <w:szCs w:val="24"/>
        </w:rPr>
        <w:t xml:space="preserve">informações podem ser obtidas pelo e-mail e telefone: </w:t>
      </w:r>
      <w:hyperlink r:id="rId6">
        <w:r>
          <w:rPr>
            <w:rStyle w:val="Hyperlink"/>
            <w:color w:val="000000"/>
            <w:sz w:val="24"/>
            <w:szCs w:val="24"/>
          </w:rPr>
          <w:t>cultura@ibiraiaras.rs.gov.br</w:t>
        </w:r>
      </w:hyperlink>
      <w:r>
        <w:rPr>
          <w:color w:val="000000"/>
          <w:sz w:val="24"/>
          <w:szCs w:val="24"/>
        </w:rPr>
        <w:t xml:space="preserve"> / (54) 3355-1122. </w:t>
      </w:r>
    </w:p>
    <w:p>
      <w:pPr>
        <w:pStyle w:val="Normal"/>
        <w:spacing w:lineRule="auto" w:line="276" w:before="120" w:after="120"/>
        <w:ind w:right="120"/>
        <w:jc w:val="both"/>
        <w:rPr>
          <w:rFonts w:cs="Aptos"/>
          <w:color w:val="FF0000"/>
          <w:sz w:val="24"/>
          <w:szCs w:val="24"/>
        </w:rPr>
      </w:pPr>
      <w:r>
        <w:rPr>
          <w:rFonts w:cs="Aptos"/>
          <w:color w:val="FF0000"/>
          <w:sz w:val="24"/>
          <w:szCs w:val="24"/>
        </w:rPr>
      </w:r>
    </w:p>
    <w:p>
      <w:pPr>
        <w:pStyle w:val="Normal"/>
        <w:spacing w:lineRule="auto" w:line="276" w:before="120" w:after="120"/>
        <w:ind w:right="120"/>
        <w:jc w:val="both"/>
        <w:rPr>
          <w:rFonts w:cs="Aptos"/>
          <w:color w:val="000000"/>
          <w:sz w:val="24"/>
          <w:szCs w:val="24"/>
        </w:rPr>
      </w:pPr>
      <w:r>
        <w:rPr>
          <w:rFonts w:cs="Aptos"/>
          <w:color w:val="000000"/>
          <w:sz w:val="24"/>
          <w:szCs w:val="24"/>
        </w:rPr>
        <w:t>Os casos omissos ficarão a cargo do Conselho Municipal de Cultura.</w:t>
      </w:r>
    </w:p>
    <w:p>
      <w:pPr>
        <w:pStyle w:val="Normal"/>
        <w:spacing w:lineRule="auto" w:line="276" w:before="120" w:after="120"/>
        <w:ind w:left="120" w:right="120"/>
        <w:jc w:val="both"/>
        <w:rPr>
          <w:rFonts w:cs="Aptos"/>
          <w:color w:val="000000"/>
          <w:sz w:val="24"/>
          <w:szCs w:val="24"/>
        </w:rPr>
      </w:pPr>
      <w:r>
        <w:rPr>
          <w:rFonts w:cs="Aptos"/>
          <w:color w:val="00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Validade do resultado deste edital</w:t>
      </w:r>
    </w:p>
    <w:p>
      <w:pPr>
        <w:pStyle w:val="Normal"/>
        <w:spacing w:lineRule="auto" w:line="276" w:before="120" w:after="120"/>
        <w:ind w:right="120"/>
        <w:jc w:val="both"/>
        <w:rPr>
          <w:rFonts w:cs="Aptos"/>
          <w:color w:val="000000"/>
          <w:sz w:val="24"/>
          <w:szCs w:val="24"/>
        </w:rPr>
      </w:pPr>
      <w:r>
        <w:rPr>
          <w:rFonts w:cs="Aptos"/>
          <w:color w:val="000000"/>
          <w:sz w:val="24"/>
          <w:szCs w:val="24"/>
        </w:rPr>
        <w:t>O resultado do chamamento público regido por este Edital terá validade até 12 meses após a publicação do resultado final.</w:t>
      </w:r>
    </w:p>
    <w:p>
      <w:pPr>
        <w:pStyle w:val="Normal"/>
        <w:spacing w:lineRule="auto" w:line="276" w:before="120" w:after="120"/>
        <w:ind w:left="120" w:right="120"/>
        <w:jc w:val="both"/>
        <w:rPr>
          <w:rFonts w:cs="Aptos"/>
          <w:color w:val="FF0000"/>
          <w:sz w:val="24"/>
          <w:szCs w:val="24"/>
        </w:rPr>
      </w:pPr>
      <w:r>
        <w:rPr>
          <w:rFonts w:cs="Aptos"/>
          <w:color w:val="FF0000"/>
          <w:sz w:val="24"/>
          <w:szCs w:val="24"/>
        </w:rPr>
      </w:r>
    </w:p>
    <w:p>
      <w:pPr>
        <w:pStyle w:val="Normal"/>
        <w:numPr>
          <w:ilvl w:val="1"/>
          <w:numId w:val="1"/>
        </w:numPr>
        <w:spacing w:lineRule="auto" w:line="276" w:before="120" w:after="120"/>
        <w:ind w:hanging="405" w:left="765" w:right="120"/>
        <w:jc w:val="both"/>
        <w:rPr>
          <w:rFonts w:cs="Aptos"/>
          <w:b/>
          <w:color w:val="000000"/>
          <w:sz w:val="24"/>
          <w:szCs w:val="24"/>
        </w:rPr>
      </w:pPr>
      <w:r>
        <w:rPr>
          <w:rFonts w:cs="Aptos"/>
          <w:b/>
          <w:color w:val="000000"/>
          <w:sz w:val="24"/>
          <w:szCs w:val="24"/>
        </w:rPr>
        <w:t>Anexos do edital</w:t>
      </w:r>
    </w:p>
    <w:p>
      <w:pPr>
        <w:pStyle w:val="Normal"/>
        <w:spacing w:lineRule="auto" w:line="276" w:before="120" w:after="120"/>
        <w:ind w:right="120"/>
        <w:jc w:val="both"/>
        <w:rPr>
          <w:rFonts w:cs="Aptos"/>
          <w:color w:val="000000"/>
          <w:sz w:val="24"/>
          <w:szCs w:val="24"/>
        </w:rPr>
      </w:pPr>
      <w:r>
        <w:rPr>
          <w:rFonts w:cs="Aptos"/>
          <w:color w:val="000000"/>
          <w:sz w:val="24"/>
          <w:szCs w:val="24"/>
        </w:rPr>
        <w:t>Compõem este Edital os seguintes anexos: </w:t>
      </w:r>
    </w:p>
    <w:p>
      <w:pPr>
        <w:pStyle w:val="Normal"/>
        <w:spacing w:lineRule="auto" w:line="276" w:before="120" w:after="120"/>
        <w:ind w:left="720" w:right="120"/>
        <w:jc w:val="both"/>
        <w:rPr>
          <w:rFonts w:cs="Aptos"/>
          <w:color w:val="000000"/>
          <w:sz w:val="24"/>
          <w:szCs w:val="24"/>
        </w:rPr>
      </w:pPr>
      <w:r>
        <w:rPr>
          <w:rFonts w:cs="Aptos"/>
          <w:color w:val="000000"/>
          <w:sz w:val="24"/>
          <w:szCs w:val="24"/>
        </w:rPr>
        <w:t>Anexo I - Categorias de apoio;</w:t>
      </w:r>
    </w:p>
    <w:p>
      <w:pPr>
        <w:pStyle w:val="Normal"/>
        <w:spacing w:lineRule="auto" w:line="276" w:before="120" w:after="120"/>
        <w:ind w:left="720" w:right="120"/>
        <w:jc w:val="both"/>
        <w:rPr>
          <w:color w:themeColor="dark1" w:val="000000"/>
          <w:sz w:val="24"/>
          <w:szCs w:val="24"/>
        </w:rPr>
      </w:pPr>
      <w:r>
        <w:rPr>
          <w:color w:themeColor="dark1" w:val="000000"/>
          <w:sz w:val="24"/>
          <w:szCs w:val="24"/>
        </w:rPr>
        <w:t>Anexo II - Formulário de Inscrição/</w:t>
      </w:r>
    </w:p>
    <w:p>
      <w:pPr>
        <w:pStyle w:val="Normal"/>
        <w:spacing w:lineRule="auto" w:line="276" w:before="120" w:after="120"/>
        <w:ind w:left="720" w:right="120"/>
        <w:jc w:val="both"/>
        <w:rPr/>
      </w:pPr>
      <w:r>
        <w:rPr>
          <w:color w:themeColor="dark1" w:val="000000"/>
          <w:sz w:val="24"/>
          <w:szCs w:val="24"/>
        </w:rPr>
        <w:t>Anexo III - Plano de Trabalho;</w:t>
      </w:r>
    </w:p>
    <w:p>
      <w:pPr>
        <w:pStyle w:val="Normal"/>
        <w:spacing w:lineRule="auto" w:line="276" w:before="120" w:after="120"/>
        <w:ind w:left="720" w:right="120"/>
        <w:jc w:val="both"/>
        <w:rPr>
          <w:color w:themeColor="dark1" w:val="000000"/>
          <w:sz w:val="24"/>
          <w:szCs w:val="24"/>
        </w:rPr>
      </w:pPr>
      <w:r>
        <w:rPr>
          <w:color w:themeColor="dark1" w:val="000000"/>
          <w:sz w:val="24"/>
          <w:szCs w:val="24"/>
        </w:rPr>
        <w:t>Anexo IV - Critérios de seleção</w:t>
      </w:r>
    </w:p>
    <w:p>
      <w:pPr>
        <w:pStyle w:val="Normal"/>
        <w:spacing w:lineRule="auto" w:line="276" w:before="120" w:after="120"/>
        <w:ind w:left="720" w:right="120"/>
        <w:jc w:val="both"/>
        <w:rPr>
          <w:color w:themeColor="dark1" w:val="000000"/>
          <w:sz w:val="24"/>
          <w:szCs w:val="24"/>
        </w:rPr>
      </w:pPr>
      <w:r>
        <w:rPr>
          <w:color w:themeColor="dark1" w:val="000000"/>
          <w:sz w:val="24"/>
          <w:szCs w:val="24"/>
        </w:rPr>
        <w:t>Anexo V - Termo de Execução Cultural;</w:t>
      </w:r>
    </w:p>
    <w:p>
      <w:pPr>
        <w:pStyle w:val="Normal"/>
        <w:spacing w:lineRule="auto" w:line="276" w:before="120" w:after="120"/>
        <w:ind w:left="720" w:right="120"/>
        <w:rPr>
          <w:color w:themeColor="dark1" w:val="000000"/>
          <w:sz w:val="24"/>
          <w:szCs w:val="24"/>
        </w:rPr>
      </w:pPr>
      <w:r>
        <w:rPr>
          <w:color w:themeColor="dark1" w:val="000000"/>
          <w:sz w:val="24"/>
          <w:szCs w:val="24"/>
        </w:rPr>
        <w:t>Anexo VI - Relatório de Objeto da Execução Cultural;</w:t>
      </w:r>
    </w:p>
    <w:p>
      <w:pPr>
        <w:pStyle w:val="Normal"/>
        <w:spacing w:lineRule="auto" w:line="276" w:before="120" w:after="120"/>
        <w:ind w:left="720" w:right="120"/>
        <w:jc w:val="both"/>
        <w:rPr>
          <w:color w:themeColor="dark1" w:val="000000"/>
          <w:sz w:val="24"/>
          <w:szCs w:val="24"/>
        </w:rPr>
      </w:pPr>
      <w:r>
        <w:rPr>
          <w:color w:themeColor="dark1" w:val="000000"/>
          <w:sz w:val="24"/>
          <w:szCs w:val="24"/>
        </w:rPr>
        <w:t>Anexo VII - Declaração de representação de grupo ou coletivo;</w:t>
      </w:r>
    </w:p>
    <w:p>
      <w:pPr>
        <w:pStyle w:val="Normal"/>
        <w:spacing w:lineRule="auto" w:line="276" w:before="120" w:after="120"/>
        <w:ind w:left="720" w:right="120"/>
        <w:jc w:val="both"/>
        <w:rPr>
          <w:color w:themeColor="dark1" w:val="000000"/>
          <w:sz w:val="24"/>
          <w:szCs w:val="24"/>
        </w:rPr>
      </w:pPr>
      <w:r>
        <w:rPr>
          <w:color w:themeColor="dark1" w:val="000000"/>
          <w:sz w:val="24"/>
          <w:szCs w:val="24"/>
        </w:rPr>
        <w:t xml:space="preserve">Anexo VIII - Declaração étnico-racial </w:t>
      </w:r>
    </w:p>
    <w:p>
      <w:pPr>
        <w:pStyle w:val="Normal"/>
        <w:spacing w:lineRule="auto" w:line="276" w:before="120" w:after="120"/>
        <w:ind w:left="720" w:right="120"/>
        <w:jc w:val="both"/>
        <w:rPr>
          <w:color w:themeColor="dark1" w:val="000000"/>
          <w:sz w:val="24"/>
          <w:szCs w:val="24"/>
        </w:rPr>
      </w:pPr>
      <w:r>
        <w:rPr>
          <w:color w:themeColor="dark1" w:val="000000"/>
          <w:sz w:val="24"/>
          <w:szCs w:val="24"/>
        </w:rPr>
        <w:t>Anexo IX – Declaração PCD</w:t>
      </w:r>
    </w:p>
    <w:p>
      <w:pPr>
        <w:pStyle w:val="Normal"/>
        <w:spacing w:lineRule="auto" w:line="276" w:before="120" w:after="120"/>
        <w:ind w:left="720" w:right="120"/>
        <w:jc w:val="both"/>
        <w:rPr>
          <w:color w:themeColor="dark1" w:val="000000"/>
          <w:sz w:val="24"/>
          <w:szCs w:val="24"/>
        </w:rPr>
      </w:pPr>
      <w:r>
        <w:rPr>
          <w:color w:themeColor="dark1" w:val="000000"/>
          <w:sz w:val="24"/>
          <w:szCs w:val="24"/>
        </w:rPr>
        <w:t>Anexo X – Formulário de interposição de recurso</w:t>
      </w:r>
    </w:p>
    <w:p>
      <w:pPr>
        <w:pStyle w:val="Normal"/>
        <w:rPr/>
      </w:pPr>
      <w:r>
        <w:rPr/>
      </w:r>
    </w:p>
    <w:p>
      <w:pPr>
        <w:pStyle w:val="Normal"/>
        <w:widowControl/>
        <w:suppressAutoHyphens w:val="true"/>
        <w:bidi w:val="0"/>
        <w:spacing w:lineRule="auto" w:line="259" w:before="0" w:after="160"/>
        <w:jc w:val="left"/>
        <w:rPr/>
      </w:pPr>
      <w:r>
        <w:rPr/>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701" w:right="1130"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libri">
    <w:charset w:val="00"/>
    <w:family w:val="swiss"/>
    <w:pitch w:val="variable"/>
  </w:font>
  <w:font w:name="Aptos Display">
    <w:charset w:val="00"/>
    <w:family w:val="swiss"/>
    <w:pitch w:val="variable"/>
  </w:font>
  <w:font w:name="Liberation Sans">
    <w:altName w:val="Arial"/>
    <w:charset w:val="00"/>
    <w:family w:val="swiss"/>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behindDoc="1" distT="0" distB="0" distL="114300" distR="114300" simplePos="0" locked="0" layoutInCell="0" allowOverlap="1" relativeHeight="46">
          <wp:simplePos x="0" y="0"/>
          <wp:positionH relativeFrom="column">
            <wp:posOffset>3101340</wp:posOffset>
          </wp:positionH>
          <wp:positionV relativeFrom="page">
            <wp:posOffset>9906000</wp:posOffset>
          </wp:positionV>
          <wp:extent cx="2962275" cy="612140"/>
          <wp:effectExtent l="0" t="0" r="0" b="0"/>
          <wp:wrapTopAndBottom/>
          <wp:docPr id="5" name="Figura2"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behindDoc="1" distT="0" distB="0" distL="114300" distR="114300" simplePos="0" locked="0" layoutInCell="0" allowOverlap="1" relativeHeight="46">
          <wp:simplePos x="0" y="0"/>
          <wp:positionH relativeFrom="column">
            <wp:posOffset>3101340</wp:posOffset>
          </wp:positionH>
          <wp:positionV relativeFrom="page">
            <wp:posOffset>9906000</wp:posOffset>
          </wp:positionV>
          <wp:extent cx="2962275" cy="612140"/>
          <wp:effectExtent l="0" t="0" r="0" b="0"/>
          <wp:wrapTopAndBottom/>
          <wp:docPr id="6" name="Figura2"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2"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263140" cy="63436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2263140" cy="634365"/>
                  </a:xfrm>
                  <a:prstGeom prst="rect">
                    <a:avLst/>
                  </a:prstGeom>
                  <a:noFill/>
                </pic:spPr>
              </pic:pic>
            </a:graphicData>
          </a:graphic>
        </wp:inline>
      </w:drawing>
    </w:r>
    <w:r>
      <w:rPr/>
      <w:drawing>
        <wp:inline distT="0" distB="0" distL="0" distR="0">
          <wp:extent cx="1989455" cy="534670"/>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2"/>
                  <a:stretch>
                    <a:fillRect/>
                  </a:stretch>
                </pic:blipFill>
                <pic:spPr bwMode="auto">
                  <a:xfrm>
                    <a:off x="0" y="0"/>
                    <a:ext cx="1989455" cy="53467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263140" cy="634365"/>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tretch>
                    <a:fillRect/>
                  </a:stretch>
                </pic:blipFill>
                <pic:spPr bwMode="auto">
                  <a:xfrm>
                    <a:off x="0" y="0"/>
                    <a:ext cx="2263140" cy="634365"/>
                  </a:xfrm>
                  <a:prstGeom prst="rect">
                    <a:avLst/>
                  </a:prstGeom>
                  <a:noFill/>
                </pic:spPr>
              </pic:pic>
            </a:graphicData>
          </a:graphic>
        </wp:inline>
      </w:drawing>
    </w:r>
    <w:r>
      <w:rPr/>
      <w:drawing>
        <wp:inline distT="0" distB="0" distL="0" distR="0">
          <wp:extent cx="1989455" cy="534670"/>
          <wp:effectExtent l="0" t="0" r="0" b="0"/>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2"/>
                  <a:stretch>
                    <a:fillRect/>
                  </a:stretch>
                </pic:blipFill>
                <pic:spPr bwMode="auto">
                  <a:xfrm>
                    <a:off x="0" y="0"/>
                    <a:ext cx="1989455" cy="5346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65" w:hanging="405"/>
      </w:pPr>
      <w:rPr>
        <w:b/>
        <w:color w:val="000000"/>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440" w:hanging="108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800" w:hanging="144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2160" w:hanging="1800"/>
      </w:pPr>
      <w:rPr>
        <w:b/>
      </w:rPr>
    </w:lvl>
    <w:lvl w:ilvl="8">
      <w:start w:val="1"/>
      <w:numFmt w:val="decimal"/>
      <w:lvlText w:val="%1.%2.%3.%4.%5.%6.%7.%8.%9"/>
      <w:lvlJc w:val="left"/>
      <w:pPr>
        <w:tabs>
          <w:tab w:val="num" w:pos="0"/>
        </w:tabs>
        <w:ind w:left="2160" w:hanging="1800"/>
      </w:pPr>
      <w:rPr>
        <w:b/>
      </w:rPr>
    </w:lvl>
  </w:abstractNum>
  <w:abstractNum w:abstractNumId="2">
    <w:lvl w:ilvl="0">
      <w:start w:val="1"/>
      <w:numFmt w:val="lowerLetter"/>
      <w:lvlText w:val="%1)"/>
      <w:lvlJc w:val="left"/>
      <w:pPr>
        <w:tabs>
          <w:tab w:val="num" w:pos="0"/>
        </w:tabs>
        <w:ind w:left="1125" w:hanging="360"/>
      </w:pPr>
      <w:rPr>
        <w:b w:val="false"/>
        <w:rFonts w:ascii="Calibri" w:hAnsi="Calibri" w:eastAsia="Calibri" w:cs="Calibri"/>
      </w:rPr>
    </w:lvl>
    <w:lvl w:ilvl="1">
      <w:start w:val="1"/>
      <w:numFmt w:val="lowerLetter"/>
      <w:lvlText w:val="%2."/>
      <w:lvlJc w:val="left"/>
      <w:pPr>
        <w:tabs>
          <w:tab w:val="num" w:pos="0"/>
        </w:tabs>
        <w:ind w:left="1845" w:hanging="360"/>
      </w:pPr>
      <w:rPr/>
    </w:lvl>
    <w:lvl w:ilvl="2">
      <w:start w:val="1"/>
      <w:numFmt w:val="lowerRoman"/>
      <w:lvlText w:val="%3."/>
      <w:lvlJc w:val="right"/>
      <w:pPr>
        <w:tabs>
          <w:tab w:val="num" w:pos="0"/>
        </w:tabs>
        <w:ind w:left="2565" w:hanging="180"/>
      </w:pPr>
      <w:rPr/>
    </w:lvl>
    <w:lvl w:ilvl="3">
      <w:start w:val="1"/>
      <w:numFmt w:val="decimal"/>
      <w:lvlText w:val="%4."/>
      <w:lvlJc w:val="left"/>
      <w:pPr>
        <w:tabs>
          <w:tab w:val="num" w:pos="0"/>
        </w:tabs>
        <w:ind w:left="3285" w:hanging="360"/>
      </w:pPr>
      <w:rPr/>
    </w:lvl>
    <w:lvl w:ilvl="4">
      <w:start w:val="1"/>
      <w:numFmt w:val="lowerLetter"/>
      <w:lvlText w:val="%5."/>
      <w:lvlJc w:val="left"/>
      <w:pPr>
        <w:tabs>
          <w:tab w:val="num" w:pos="0"/>
        </w:tabs>
        <w:ind w:left="4005" w:hanging="360"/>
      </w:pPr>
      <w:rPr/>
    </w:lvl>
    <w:lvl w:ilvl="5">
      <w:start w:val="1"/>
      <w:numFmt w:val="lowerRoman"/>
      <w:lvlText w:val="%6."/>
      <w:lvlJc w:val="right"/>
      <w:pPr>
        <w:tabs>
          <w:tab w:val="num" w:pos="0"/>
        </w:tabs>
        <w:ind w:left="4725" w:hanging="180"/>
      </w:pPr>
      <w:rPr/>
    </w:lvl>
    <w:lvl w:ilvl="6">
      <w:start w:val="1"/>
      <w:numFmt w:val="decimal"/>
      <w:lvlText w:val="%7."/>
      <w:lvlJc w:val="left"/>
      <w:pPr>
        <w:tabs>
          <w:tab w:val="num" w:pos="0"/>
        </w:tabs>
        <w:ind w:left="5445" w:hanging="360"/>
      </w:pPr>
      <w:rPr/>
    </w:lvl>
    <w:lvl w:ilvl="7">
      <w:start w:val="1"/>
      <w:numFmt w:val="lowerLetter"/>
      <w:lvlText w:val="%8."/>
      <w:lvlJc w:val="left"/>
      <w:pPr>
        <w:tabs>
          <w:tab w:val="num" w:pos="0"/>
        </w:tabs>
        <w:ind w:left="6165" w:hanging="360"/>
      </w:pPr>
      <w:rPr/>
    </w:lvl>
    <w:lvl w:ilvl="8">
      <w:start w:val="1"/>
      <w:numFmt w:val="lowerRoman"/>
      <w:lvlText w:val="%9."/>
      <w:lvlJc w:val="right"/>
      <w:pPr>
        <w:tabs>
          <w:tab w:val="num" w:pos="0"/>
        </w:tabs>
        <w:ind w:left="6885" w:hanging="180"/>
      </w:pPr>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ahoma"/>
        <w:kern w:val="2"/>
        <w:sz w:val="24"/>
        <w:szCs w:val="24"/>
        <w:lang w:val="pt-B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Calibri" w:cs="Calibri"/>
      <w:color w:val="auto"/>
      <w:kern w:val="0"/>
      <w:sz w:val="22"/>
      <w:szCs w:val="22"/>
      <w:lang w:val="pt-BR" w:eastAsia="pt-BR" w:bidi="ar-SA"/>
    </w:rPr>
  </w:style>
  <w:style w:type="paragraph" w:styleId="Heading1">
    <w:name w:val="heading 1"/>
    <w:basedOn w:val="Normal"/>
    <w:next w:val="Normal"/>
    <w:link w:val="Ttulo1Char"/>
    <w:qFormat/>
    <w:pPr>
      <w:keepNext w:val="true"/>
      <w:keepLines/>
      <w:numPr>
        <w:ilvl w:val="0"/>
        <w:numId w:val="0"/>
      </w:numPr>
      <w:spacing w:before="360" w:after="80"/>
      <w:outlineLvl w:val="0"/>
    </w:pPr>
    <w:rPr>
      <w:rFonts w:ascii="Aptos Display" w:hAnsi="Aptos Display" w:eastAsia="Aptos" w:cs="Tahoma"/>
      <w:color w:themeColor="accent1" w:themeShade="bf" w:val="0F4761"/>
      <w:sz w:val="40"/>
      <w:szCs w:val="40"/>
    </w:rPr>
  </w:style>
  <w:style w:type="paragraph" w:styleId="Heading2">
    <w:name w:val="heading 2"/>
    <w:basedOn w:val="Normal"/>
    <w:next w:val="Normal"/>
    <w:link w:val="Ttulo2Char"/>
    <w:qFormat/>
    <w:pPr>
      <w:keepNext w:val="true"/>
      <w:keepLines/>
      <w:numPr>
        <w:ilvl w:val="0"/>
        <w:numId w:val="0"/>
      </w:numPr>
      <w:spacing w:before="160" w:after="80"/>
      <w:outlineLvl w:val="1"/>
    </w:pPr>
    <w:rPr>
      <w:rFonts w:ascii="Aptos Display" w:hAnsi="Aptos Display" w:eastAsia="Aptos" w:cs="Tahoma"/>
      <w:color w:themeColor="accent1" w:themeShade="bf" w:val="0F4761"/>
      <w:sz w:val="32"/>
      <w:szCs w:val="32"/>
    </w:rPr>
  </w:style>
  <w:style w:type="paragraph" w:styleId="Heading3">
    <w:name w:val="heading 3"/>
    <w:basedOn w:val="Normal"/>
    <w:next w:val="Normal"/>
    <w:link w:val="Ttulo3Char"/>
    <w:qFormat/>
    <w:pPr>
      <w:keepNext w:val="true"/>
      <w:keepLines/>
      <w:numPr>
        <w:ilvl w:val="0"/>
        <w:numId w:val="0"/>
      </w:numPr>
      <w:spacing w:before="160" w:after="80"/>
      <w:outlineLvl w:val="2"/>
    </w:pPr>
    <w:rPr>
      <w:rFonts w:eastAsia="Aptos" w:cs="Tahoma"/>
      <w:color w:themeColor="accent1" w:themeShade="bf" w:val="0F4761"/>
      <w:sz w:val="28"/>
      <w:szCs w:val="28"/>
    </w:rPr>
  </w:style>
  <w:style w:type="paragraph" w:styleId="Heading4">
    <w:name w:val="heading 4"/>
    <w:basedOn w:val="Normal"/>
    <w:next w:val="Normal"/>
    <w:link w:val="Ttulo4Char"/>
    <w:qFormat/>
    <w:pPr>
      <w:keepNext w:val="true"/>
      <w:keepLines/>
      <w:numPr>
        <w:ilvl w:val="0"/>
        <w:numId w:val="0"/>
      </w:numPr>
      <w:spacing w:before="80" w:after="40"/>
      <w:outlineLvl w:val="3"/>
    </w:pPr>
    <w:rPr>
      <w:rFonts w:eastAsia="Aptos" w:cs="Tahoma"/>
      <w:i/>
      <w:iCs/>
      <w:color w:themeColor="accent1" w:themeShade="bf" w:val="0F4761"/>
    </w:rPr>
  </w:style>
  <w:style w:type="paragraph" w:styleId="Heading5">
    <w:name w:val="heading 5"/>
    <w:basedOn w:val="Normal"/>
    <w:next w:val="Normal"/>
    <w:link w:val="Ttulo5Char"/>
    <w:qFormat/>
    <w:pPr>
      <w:keepNext w:val="true"/>
      <w:keepLines/>
      <w:numPr>
        <w:ilvl w:val="0"/>
        <w:numId w:val="0"/>
      </w:numPr>
      <w:spacing w:before="80" w:after="40"/>
      <w:outlineLvl w:val="4"/>
    </w:pPr>
    <w:rPr>
      <w:rFonts w:eastAsia="Aptos" w:cs="Tahoma"/>
      <w:color w:themeColor="accent1" w:themeShade="bf" w:val="0F4761"/>
    </w:rPr>
  </w:style>
  <w:style w:type="paragraph" w:styleId="Heading6">
    <w:name w:val="heading 6"/>
    <w:basedOn w:val="Normal"/>
    <w:next w:val="Normal"/>
    <w:link w:val="Ttulo6Char"/>
    <w:qFormat/>
    <w:pPr>
      <w:keepNext w:val="true"/>
      <w:keepLines/>
      <w:numPr>
        <w:ilvl w:val="0"/>
        <w:numId w:val="0"/>
      </w:numPr>
      <w:spacing w:before="40" w:after="0"/>
      <w:outlineLvl w:val="5"/>
    </w:pPr>
    <w:rPr>
      <w:rFonts w:eastAsia="Aptos" w:cs="Tahoma"/>
      <w:i/>
      <w:iCs/>
      <w:color w:themeColor="dark1" w:themeTint="a6" w:val="595959"/>
    </w:rPr>
  </w:style>
  <w:style w:type="paragraph" w:styleId="Heading7">
    <w:name w:val="heading 7"/>
    <w:basedOn w:val="Normal"/>
    <w:next w:val="Normal"/>
    <w:link w:val="Ttulo7Char"/>
    <w:qFormat/>
    <w:pPr>
      <w:keepNext w:val="true"/>
      <w:keepLines/>
      <w:numPr>
        <w:ilvl w:val="0"/>
        <w:numId w:val="0"/>
      </w:numPr>
      <w:spacing w:before="40" w:after="0"/>
      <w:outlineLvl w:val="6"/>
    </w:pPr>
    <w:rPr>
      <w:rFonts w:eastAsia="Aptos" w:cs="Tahoma"/>
      <w:color w:themeColor="dark1" w:themeTint="a6" w:val="595959"/>
    </w:rPr>
  </w:style>
  <w:style w:type="paragraph" w:styleId="Heading8">
    <w:name w:val="heading 8"/>
    <w:basedOn w:val="Normal"/>
    <w:next w:val="Normal"/>
    <w:link w:val="Ttulo8Char"/>
    <w:qFormat/>
    <w:pPr>
      <w:keepNext w:val="true"/>
      <w:keepLines/>
      <w:numPr>
        <w:ilvl w:val="0"/>
        <w:numId w:val="0"/>
      </w:numPr>
      <w:spacing w:before="0" w:after="0"/>
      <w:outlineLvl w:val="7"/>
    </w:pPr>
    <w:rPr>
      <w:rFonts w:eastAsia="Aptos" w:cs="Tahoma"/>
      <w:i/>
      <w:iCs/>
      <w:color w:themeColor="dark1" w:themeTint="d8" w:val="272727"/>
    </w:rPr>
  </w:style>
  <w:style w:type="paragraph" w:styleId="Heading9">
    <w:name w:val="heading 9"/>
    <w:basedOn w:val="Normal"/>
    <w:next w:val="Normal"/>
    <w:link w:val="Ttulo9Char"/>
    <w:qFormat/>
    <w:pPr>
      <w:keepNext w:val="true"/>
      <w:keepLines/>
      <w:numPr>
        <w:ilvl w:val="0"/>
        <w:numId w:val="0"/>
      </w:numPr>
      <w:spacing w:before="0" w:after="0"/>
      <w:outlineLvl w:val="8"/>
    </w:pPr>
    <w:rPr>
      <w:rFonts w:eastAsia="Aptos" w:cs="Tahoma"/>
      <w:color w:themeColor="dark1" w:themeTint="d8" w:val="272727"/>
    </w:rPr>
  </w:style>
  <w:style w:type="character" w:styleId="DefaultParagraphFont">
    <w:name w:val="Default Paragraph Font"/>
    <w:qFormat/>
    <w:rPr/>
  </w:style>
  <w:style w:type="character" w:styleId="Ttulo1Char">
    <w:name w:val="Título 1 Char"/>
    <w:basedOn w:val="DefaultParagraphFont"/>
    <w:qFormat/>
    <w:rPr>
      <w:rFonts w:ascii="Aptos Display" w:hAnsi="Aptos Display" w:eastAsia="Aptos" w:cs="Tahoma"/>
      <w:color w:themeColor="accent1" w:themeShade="bf" w:val="0F4761"/>
      <w:sz w:val="40"/>
      <w:szCs w:val="40"/>
    </w:rPr>
  </w:style>
  <w:style w:type="character" w:styleId="Ttulo2Char">
    <w:name w:val="Título 2 Char"/>
    <w:basedOn w:val="DefaultParagraphFont"/>
    <w:qFormat/>
    <w:rPr>
      <w:rFonts w:ascii="Aptos Display" w:hAnsi="Aptos Display" w:eastAsia="Aptos" w:cs="Tahoma"/>
      <w:color w:themeColor="accent1" w:themeShade="bf" w:val="0F4761"/>
      <w:sz w:val="32"/>
      <w:szCs w:val="32"/>
    </w:rPr>
  </w:style>
  <w:style w:type="character" w:styleId="Ttulo3Char">
    <w:name w:val="Título 3 Char"/>
    <w:basedOn w:val="DefaultParagraphFont"/>
    <w:qFormat/>
    <w:rPr>
      <w:rFonts w:eastAsia="Aptos" w:cs="Tahoma"/>
      <w:color w:themeColor="accent1" w:themeShade="bf" w:val="0F4761"/>
      <w:sz w:val="28"/>
      <w:szCs w:val="28"/>
    </w:rPr>
  </w:style>
  <w:style w:type="character" w:styleId="Ttulo4Char">
    <w:name w:val="Título 4 Char"/>
    <w:basedOn w:val="DefaultParagraphFont"/>
    <w:qFormat/>
    <w:rPr>
      <w:rFonts w:eastAsia="Aptos" w:cs="Tahoma"/>
      <w:i/>
      <w:iCs/>
      <w:color w:themeColor="accent1" w:themeShade="bf" w:val="0F4761"/>
    </w:rPr>
  </w:style>
  <w:style w:type="character" w:styleId="Ttulo5Char">
    <w:name w:val="Título 5 Char"/>
    <w:basedOn w:val="DefaultParagraphFont"/>
    <w:qFormat/>
    <w:rPr>
      <w:rFonts w:eastAsia="Aptos" w:cs="Tahoma"/>
      <w:color w:themeColor="accent1" w:themeShade="bf" w:val="0F4761"/>
    </w:rPr>
  </w:style>
  <w:style w:type="character" w:styleId="Ttulo6Char">
    <w:name w:val="Título 6 Char"/>
    <w:basedOn w:val="DefaultParagraphFont"/>
    <w:qFormat/>
    <w:rPr>
      <w:rFonts w:eastAsia="Aptos" w:cs="Tahoma"/>
      <w:i/>
      <w:iCs/>
      <w:color w:themeColor="dark1" w:themeTint="a6" w:val="595959"/>
    </w:rPr>
  </w:style>
  <w:style w:type="character" w:styleId="Ttulo7Char">
    <w:name w:val="Título 7 Char"/>
    <w:basedOn w:val="DefaultParagraphFont"/>
    <w:qFormat/>
    <w:rPr>
      <w:rFonts w:eastAsia="Aptos" w:cs="Tahoma"/>
      <w:color w:themeColor="dark1" w:themeTint="a6" w:val="595959"/>
    </w:rPr>
  </w:style>
  <w:style w:type="character" w:styleId="Ttulo8Char">
    <w:name w:val="Título 8 Char"/>
    <w:basedOn w:val="DefaultParagraphFont"/>
    <w:qFormat/>
    <w:rPr>
      <w:rFonts w:eastAsia="Aptos" w:cs="Tahoma"/>
      <w:i/>
      <w:iCs/>
      <w:color w:themeColor="dark1" w:themeTint="d8" w:val="272727"/>
    </w:rPr>
  </w:style>
  <w:style w:type="character" w:styleId="Ttulo9Char">
    <w:name w:val="Título 9 Char"/>
    <w:basedOn w:val="DefaultParagraphFont"/>
    <w:qFormat/>
    <w:rPr>
      <w:rFonts w:eastAsia="Aptos" w:cs="Tahoma"/>
      <w:color w:themeColor="dark1" w:themeTint="d8" w:val="272727"/>
    </w:rPr>
  </w:style>
  <w:style w:type="character" w:styleId="TtuloChar">
    <w:name w:val="Título Char"/>
    <w:basedOn w:val="DefaultParagraphFont"/>
    <w:qFormat/>
    <w:rPr>
      <w:rFonts w:ascii="Aptos Display" w:hAnsi="Aptos Display" w:eastAsia="Aptos" w:cs="Tahoma"/>
      <w:spacing w:val="-10"/>
      <w:kern w:val="2"/>
      <w:sz w:val="56"/>
      <w:szCs w:val="56"/>
    </w:rPr>
  </w:style>
  <w:style w:type="character" w:styleId="SubttuloChar">
    <w:name w:val="Subtítulo Char"/>
    <w:basedOn w:val="DefaultParagraphFont"/>
    <w:qFormat/>
    <w:rPr>
      <w:rFonts w:eastAsia="Aptos" w:cs="Tahoma"/>
      <w:color w:themeColor="dark1" w:themeTint="a6" w:val="595959"/>
      <w:spacing w:val="15"/>
      <w:sz w:val="28"/>
      <w:szCs w:val="28"/>
    </w:rPr>
  </w:style>
  <w:style w:type="character" w:styleId="CitaoChar">
    <w:name w:val="Citação Char"/>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CitaoIntensaChar">
    <w:name w:val="Citação Intensa Char"/>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character" w:styleId="CabealhoChar">
    <w:name w:val="Cabeçalho Char"/>
    <w:basedOn w:val="DefaultParagraphFont"/>
    <w:qFormat/>
    <w:rPr/>
  </w:style>
  <w:style w:type="character" w:styleId="RodapChar">
    <w:name w:val="Rodapé Char"/>
    <w:basedOn w:val="DefaultParagraphFont"/>
    <w:qFormat/>
    <w:rPr/>
  </w:style>
  <w:style w:type="character" w:styleId="Hyperlink">
    <w:name w:val="Hyperlink"/>
    <w:basedOn w:val="DefaultParagraphFont"/>
    <w:rPr>
      <w:color w:themeColor="hyperlink" w:val="467886"/>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itle">
    <w:name w:val="Title"/>
    <w:basedOn w:val="Normal"/>
    <w:next w:val="BodyText"/>
    <w:link w:val="TtuloChar"/>
    <w:qFormat/>
    <w:pPr>
      <w:spacing w:lineRule="auto" w:line="240" w:before="0" w:after="80"/>
      <w:contextualSpacing/>
    </w:pPr>
    <w:rPr>
      <w:rFonts w:ascii="Aptos Display" w:hAnsi="Aptos Display" w:eastAsia="Aptos" w:cs="Tahoma"/>
      <w:spacing w:val="-10"/>
      <w:kern w:val="2"/>
      <w:sz w:val="56"/>
      <w:szCs w:val="56"/>
    </w:rPr>
  </w:style>
  <w:style w:type="paragraph" w:styleId="Subtitle">
    <w:name w:val="Subtitle"/>
    <w:basedOn w:val="Normal"/>
    <w:next w:val="Normal"/>
    <w:link w:val="SubttuloChar"/>
    <w:qFormat/>
    <w:pPr/>
    <w:rPr>
      <w:rFonts w:eastAsia="Aptos" w:cs="Tahoma"/>
      <w:color w:themeColor="dark1" w:themeTint="a6" w:val="595959"/>
      <w:spacing w:val="15"/>
      <w:sz w:val="28"/>
      <w:szCs w:val="28"/>
    </w:rPr>
  </w:style>
  <w:style w:type="paragraph" w:styleId="Quote">
    <w:name w:val="Quote"/>
    <w:basedOn w:val="Normal"/>
    <w:next w:val="Normal"/>
    <w:link w:val="CitaoChar"/>
    <w:qFormat/>
    <w:pPr>
      <w:spacing w:before="160" w:after="160"/>
      <w:jc w:val="center"/>
    </w:pPr>
    <w:rPr>
      <w:i/>
      <w:iCs/>
      <w:color w:themeColor="dark1" w:themeTint="bf" w:val="404040"/>
    </w:rPr>
  </w:style>
  <w:style w:type="paragraph" w:styleId="ListParagraph">
    <w:name w:val="List Paragraph"/>
    <w:basedOn w:val="Normal"/>
    <w:qFormat/>
    <w:pPr>
      <w:spacing w:before="0" w:after="160"/>
      <w:ind w:left="720"/>
      <w:contextualSpacing/>
    </w:pPr>
    <w:rPr/>
  </w:style>
  <w:style w:type="paragraph" w:styleId="IntenseQuote">
    <w:name w:val="Intense Quote"/>
    <w:basedOn w:val="Normal"/>
    <w:next w:val="Normal"/>
    <w:link w:val="CitaoIntensaChar"/>
    <w:qFormat/>
    <w:pPr>
      <w:pBdr>
        <w:top w:val="single" w:sz="4" w:space="10" w:color="0F4761"/>
        <w:bottom w:val="single" w:sz="4" w:space="10" w:color="0F4761"/>
      </w:pBdr>
      <w:spacing w:before="360" w:after="360"/>
      <w:ind w:left="864" w:right="864"/>
      <w:jc w:val="center"/>
    </w:pPr>
    <w:rPr>
      <w:i/>
      <w:iCs/>
      <w:color w:themeColor="accent1" w:themeShade="bf" w:val="0F4761"/>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pPr>
      <w:tabs>
        <w:tab w:val="clear" w:pos="708"/>
        <w:tab w:val="center" w:pos="4252" w:leader="none"/>
        <w:tab w:val="right" w:pos="8504" w:leader="none"/>
      </w:tabs>
      <w:spacing w:lineRule="auto" w:line="240" w:before="0" w:after="0"/>
    </w:pPr>
    <w:rPr/>
  </w:style>
  <w:style w:type="paragraph" w:styleId="Footer">
    <w:name w:val="footer"/>
    <w:basedOn w:val="Normal"/>
    <w:link w:val="RodapChar"/>
    <w:pPr>
      <w:tabs>
        <w:tab w:val="clear" w:pos="708"/>
        <w:tab w:val="center" w:pos="4252" w:leader="none"/>
        <w:tab w:val="right" w:pos="8504" w:leader="none"/>
      </w:tabs>
      <w:spacing w:lineRule="auto" w:line="240" w:before="0" w:after="0"/>
    </w:pPr>
    <w:rPr/>
  </w:style>
  <w:style w:type="numbering" w:styleId="Semlistauser">
    <w:name w:val="Sem lista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gov.br/en/web/dou/-/lei-n-14.903-de-27-de-junho-de-2024-568649644" TargetMode="External"/><Relationship Id="rId3" Type="http://schemas.openxmlformats.org/officeDocument/2006/relationships/hyperlink" Target="https://www.planalto.gov.br/ccivil_03/_ato2023-2026/2023/decreto/D11453.htm" TargetMode="External"/><Relationship Id="rId4" Type="http://schemas.openxmlformats.org/officeDocument/2006/relationships/hyperlink" Target="https://www.gov.br/cultura/pt-br/acesso-a-informacao/legislacao-e-normativas/instrucao-normativa-minc-no-10-de-28-de-dezembro-de-2023" TargetMode="External"/><Relationship Id="rId5" Type="http://schemas.openxmlformats.org/officeDocument/2006/relationships/hyperlink" Target="https://www.planalto.gov.br/ccivil_03/_Ato2015-2018/2015/Lei/L13146.htm" TargetMode="External"/><Relationship Id="rId6" Type="http://schemas.openxmlformats.org/officeDocument/2006/relationships/hyperlink" Target="mailto:cultura@ibiraiaras.rs.gov.br"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LibreOffice/25.2.7.2$Windows_X86_64 LibreOffice_project/5cbfd1ab6520636bb5f7b99185aa69bd7456825d</Application>
  <AppVersion>15.0000</AppVersion>
  <Pages>2</Pages>
  <Words>4122</Words>
  <Characters>23225</Characters>
  <CharactersWithSpaces>27219</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2026-04-13T20:19:00Z</dcterms:created>
  <dc:creator>Lauriana Martins Vinha</dc:creator>
  <dc:description/>
  <dc:language>pt-BR</dc:language>
  <cp:lastModifiedBy/>
  <dcterms:modified xsi:type="dcterms:W3CDTF">2026-04-15T11:23:46Z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